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2C" w:rsidRDefault="001B132C" w:rsidP="005430CD">
      <w:pPr>
        <w:pStyle w:val="Heading31"/>
        <w:keepNext/>
        <w:tabs>
          <w:tab w:val="left" w:pos="0"/>
          <w:tab w:val="left" w:pos="1134"/>
        </w:tabs>
        <w:spacing w:after="180"/>
        <w:rPr>
          <w:rFonts w:ascii="Calibri" w:hAnsi="Calibri"/>
          <w:bCs/>
          <w:color w:val="2E74B5"/>
          <w:sz w:val="32"/>
          <w:szCs w:val="22"/>
          <w:lang w:val="en-GB"/>
        </w:rPr>
      </w:pPr>
      <w:r>
        <w:rPr>
          <w:rFonts w:ascii="Calibri" w:hAnsi="Calibri"/>
          <w:bCs/>
          <w:noProof/>
          <w:color w:val="2E74B5"/>
          <w:sz w:val="32"/>
          <w:szCs w:val="22"/>
          <w:lang w:val="en-GB" w:eastAsia="en-GB" w:bidi="ar-SA"/>
        </w:rPr>
        <w:drawing>
          <wp:anchor distT="0" distB="0" distL="114300" distR="114300" simplePos="0" relativeHeight="251658240" behindDoc="0" locked="0" layoutInCell="1" allowOverlap="1">
            <wp:simplePos x="0" y="0"/>
            <wp:positionH relativeFrom="margin">
              <wp:posOffset>1852295</wp:posOffset>
            </wp:positionH>
            <wp:positionV relativeFrom="paragraph">
              <wp:posOffset>0</wp:posOffset>
            </wp:positionV>
            <wp:extent cx="2266950" cy="70485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32C" w:rsidRPr="001B132C" w:rsidRDefault="001B132C" w:rsidP="005430CD">
      <w:pPr>
        <w:pStyle w:val="Heading31"/>
        <w:keepNext/>
        <w:tabs>
          <w:tab w:val="left" w:pos="0"/>
          <w:tab w:val="left" w:pos="1134"/>
        </w:tabs>
        <w:spacing w:after="180"/>
      </w:pPr>
    </w:p>
    <w:p w:rsidR="001B132C" w:rsidRPr="001B132C" w:rsidRDefault="001B132C" w:rsidP="005430CD">
      <w:pPr>
        <w:pStyle w:val="Heading31"/>
        <w:keepNext/>
        <w:tabs>
          <w:tab w:val="left" w:pos="0"/>
          <w:tab w:val="left" w:pos="1134"/>
        </w:tabs>
        <w:spacing w:after="180"/>
      </w:pPr>
    </w:p>
    <w:p w:rsidR="008B23A7" w:rsidRPr="00A5682D" w:rsidRDefault="00554CDC" w:rsidP="005430CD">
      <w:pPr>
        <w:pStyle w:val="Heading31"/>
        <w:keepNext/>
        <w:tabs>
          <w:tab w:val="left" w:pos="0"/>
          <w:tab w:val="left" w:pos="1134"/>
        </w:tabs>
        <w:spacing w:after="180"/>
        <w:rPr>
          <w:rFonts w:ascii="Calibri" w:hAnsi="Calibri"/>
          <w:bCs/>
          <w:color w:val="2E74B5"/>
          <w:sz w:val="32"/>
          <w:szCs w:val="22"/>
          <w:lang w:val="en-GB"/>
        </w:rPr>
      </w:pPr>
      <w:r w:rsidRPr="00A5682D">
        <w:rPr>
          <w:rFonts w:ascii="Calibri" w:hAnsi="Calibri"/>
          <w:bCs/>
          <w:color w:val="2E74B5"/>
          <w:sz w:val="32"/>
          <w:szCs w:val="22"/>
          <w:lang w:val="en-GB"/>
        </w:rPr>
        <w:t>The F</w:t>
      </w:r>
      <w:r w:rsidRPr="00A5682D">
        <w:rPr>
          <w:rFonts w:ascii="Calibri" w:hAnsi="Calibri"/>
          <w:bCs/>
          <w:color w:val="2E74B5"/>
          <w:sz w:val="32"/>
          <w:szCs w:val="22"/>
        </w:rPr>
        <w:t>aculty</w:t>
      </w:r>
      <w:r w:rsidR="008B23A7" w:rsidRPr="00A5682D">
        <w:rPr>
          <w:rFonts w:ascii="Calibri" w:hAnsi="Calibri"/>
          <w:bCs/>
          <w:color w:val="2E74B5"/>
          <w:sz w:val="32"/>
          <w:szCs w:val="22"/>
        </w:rPr>
        <w:t xml:space="preserve"> of </w:t>
      </w:r>
      <w:r w:rsidRPr="00A5682D">
        <w:rPr>
          <w:rFonts w:ascii="Calibri" w:hAnsi="Calibri"/>
          <w:bCs/>
          <w:color w:val="2E74B5"/>
          <w:sz w:val="32"/>
          <w:szCs w:val="22"/>
          <w:lang w:val="en-GB"/>
        </w:rPr>
        <w:t>P</w:t>
      </w:r>
      <w:r w:rsidR="008B23A7" w:rsidRPr="00A5682D">
        <w:rPr>
          <w:rFonts w:ascii="Calibri" w:hAnsi="Calibri"/>
          <w:bCs/>
          <w:color w:val="2E74B5"/>
          <w:sz w:val="32"/>
          <w:szCs w:val="22"/>
        </w:rPr>
        <w:t xml:space="preserve">ublic </w:t>
      </w:r>
      <w:r w:rsidR="008B23A7" w:rsidRPr="00A5682D">
        <w:rPr>
          <w:rFonts w:ascii="Calibri" w:hAnsi="Calibri"/>
          <w:bCs/>
          <w:color w:val="2E74B5"/>
          <w:sz w:val="32"/>
          <w:szCs w:val="22"/>
          <w:lang w:val="en-GB"/>
        </w:rPr>
        <w:t>H</w:t>
      </w:r>
      <w:r w:rsidR="008B23A7" w:rsidRPr="00A5682D">
        <w:rPr>
          <w:rFonts w:ascii="Calibri" w:hAnsi="Calibri"/>
          <w:bCs/>
          <w:color w:val="2E74B5"/>
          <w:sz w:val="32"/>
          <w:szCs w:val="22"/>
        </w:rPr>
        <w:t>ealth (FPH)</w:t>
      </w:r>
      <w:r w:rsidR="008B23A7" w:rsidRPr="00A5682D">
        <w:rPr>
          <w:rFonts w:ascii="Calibri" w:hAnsi="Calibri"/>
          <w:bCs/>
          <w:color w:val="2E74B5"/>
          <w:sz w:val="32"/>
          <w:szCs w:val="22"/>
          <w:lang w:val="en-GB"/>
        </w:rPr>
        <w:t xml:space="preserve"> Data Protection Policy</w:t>
      </w:r>
      <w:r w:rsidR="008B23A7" w:rsidRPr="00A5682D">
        <w:rPr>
          <w:rFonts w:ascii="Calibri" w:hAnsi="Calibri"/>
          <w:color w:val="2E74B5"/>
          <w:sz w:val="32"/>
          <w:szCs w:val="22"/>
          <w:lang w:val="en-GB"/>
        </w:rPr>
        <w:br/>
      </w:r>
      <w:r w:rsidR="008B23A7" w:rsidRPr="00A5682D">
        <w:rPr>
          <w:rFonts w:ascii="Calibri" w:hAnsi="Calibri"/>
          <w:bCs/>
          <w:color w:val="2E74B5"/>
          <w:sz w:val="32"/>
          <w:szCs w:val="22"/>
          <w:lang w:val="en-GB"/>
        </w:rPr>
        <w:t xml:space="preserve">Approved by the FPH </w:t>
      </w:r>
      <w:r w:rsidR="00654F12">
        <w:rPr>
          <w:rFonts w:ascii="Calibri" w:hAnsi="Calibri"/>
          <w:bCs/>
          <w:color w:val="2E74B5"/>
          <w:sz w:val="32"/>
          <w:szCs w:val="22"/>
          <w:lang w:val="en-GB"/>
        </w:rPr>
        <w:t>Board</w:t>
      </w:r>
      <w:r w:rsidR="006E4923" w:rsidRPr="00A5682D">
        <w:rPr>
          <w:rFonts w:ascii="Calibri" w:hAnsi="Calibri"/>
          <w:bCs/>
          <w:color w:val="2E74B5"/>
          <w:sz w:val="32"/>
          <w:szCs w:val="22"/>
          <w:lang w:val="en-GB"/>
        </w:rPr>
        <w:t xml:space="preserve"> </w:t>
      </w:r>
      <w:r w:rsidR="001B132C">
        <w:rPr>
          <w:rFonts w:ascii="Calibri" w:hAnsi="Calibri"/>
          <w:bCs/>
          <w:color w:val="2E74B5"/>
          <w:sz w:val="32"/>
          <w:szCs w:val="22"/>
          <w:lang w:val="en-GB"/>
        </w:rPr>
        <w:t>on 28 February 2019</w:t>
      </w:r>
    </w:p>
    <w:p w:rsidR="003D7306" w:rsidRPr="005430CD" w:rsidRDefault="003D7306" w:rsidP="003D7306">
      <w:pPr>
        <w:autoSpaceDN w:val="0"/>
        <w:adjustRightInd w:val="0"/>
        <w:rPr>
          <w:rFonts w:ascii="Calibri" w:eastAsia="Times New Roman" w:hAnsi="Calibri" w:cs="Calibri"/>
          <w:color w:val="000000"/>
          <w:sz w:val="22"/>
          <w:szCs w:val="22"/>
        </w:rPr>
      </w:pPr>
    </w:p>
    <w:p w:rsidR="008B23A7" w:rsidRPr="005430CD" w:rsidRDefault="003D7306" w:rsidP="003D7306">
      <w:pPr>
        <w:rPr>
          <w:rFonts w:ascii="Calibri" w:hAnsi="Calibri"/>
          <w:sz w:val="22"/>
          <w:szCs w:val="22"/>
        </w:rPr>
      </w:pPr>
      <w:r w:rsidRPr="005430CD">
        <w:rPr>
          <w:rFonts w:ascii="Calibri" w:eastAsia="Times New Roman" w:hAnsi="Calibri" w:cs="Calibri"/>
          <w:color w:val="000000"/>
          <w:sz w:val="22"/>
          <w:szCs w:val="22"/>
        </w:rPr>
        <w:t>The UK Faculty of Public Health (FPH) is a membership organisation for nearly 4,000 public health professionals across the UK and around the world. We are also a registered charity. We exist to enable the advancement of knowledge and maintain the highest possible standard of professional competence.  We act as an authoritative body for the purpose of consultation and advocacy in matters of educational or public interest concerning public health.</w:t>
      </w:r>
    </w:p>
    <w:p w:rsidR="008B23A7" w:rsidRPr="004A1194" w:rsidRDefault="008B23A7">
      <w:pPr>
        <w:rPr>
          <w:rFonts w:ascii="Calibri" w:hAnsi="Calibri"/>
          <w:sz w:val="22"/>
          <w:szCs w:val="22"/>
        </w:rPr>
      </w:pPr>
    </w:p>
    <w:p w:rsidR="008B23A7" w:rsidRPr="004A1194" w:rsidRDefault="008B23A7">
      <w:pPr>
        <w:rPr>
          <w:rFonts w:ascii="Calibri" w:hAnsi="Calibri"/>
          <w:sz w:val="22"/>
          <w:szCs w:val="22"/>
        </w:rPr>
      </w:pPr>
      <w:r w:rsidRPr="004A1194">
        <w:rPr>
          <w:rFonts w:ascii="Calibri" w:hAnsi="Calibri"/>
          <w:sz w:val="22"/>
          <w:szCs w:val="22"/>
        </w:rPr>
        <w:t>In order to satisfy operational and legal obligations FPH processes and maintains personal information about its staff, members and other individuals. FPH may require</w:t>
      </w:r>
      <w:r w:rsidR="0097047C" w:rsidRPr="004A1194">
        <w:rPr>
          <w:rFonts w:ascii="Calibri" w:hAnsi="Calibri"/>
          <w:sz w:val="22"/>
          <w:szCs w:val="22"/>
        </w:rPr>
        <w:t xml:space="preserve"> </w:t>
      </w:r>
      <w:r w:rsidRPr="004A1194">
        <w:rPr>
          <w:rFonts w:ascii="Calibri" w:hAnsi="Calibri"/>
          <w:sz w:val="22"/>
          <w:szCs w:val="22"/>
        </w:rPr>
        <w:t>information about current, past and prospective employees, FPH members, suppliers and other individuals with whom it has business or with whom it communicates.</w:t>
      </w:r>
    </w:p>
    <w:p w:rsidR="008B23A7" w:rsidRPr="00864F12" w:rsidRDefault="008B23A7">
      <w:pPr>
        <w:rPr>
          <w:rFonts w:ascii="Calibri" w:hAnsi="Calibri"/>
          <w:color w:val="000000"/>
          <w:sz w:val="14"/>
          <w:szCs w:val="22"/>
        </w:rPr>
      </w:pPr>
    </w:p>
    <w:p w:rsidR="008B23A7" w:rsidRPr="004A1194" w:rsidRDefault="008B23A7" w:rsidP="00092DBE">
      <w:pPr>
        <w:rPr>
          <w:rFonts w:ascii="Calibri" w:hAnsi="Calibri"/>
          <w:sz w:val="22"/>
          <w:szCs w:val="22"/>
        </w:rPr>
      </w:pPr>
      <w:r w:rsidRPr="004A1194">
        <w:rPr>
          <w:rFonts w:ascii="Calibri" w:hAnsi="Calibri"/>
          <w:sz w:val="22"/>
          <w:szCs w:val="22"/>
        </w:rPr>
        <w:t xml:space="preserve">FPH fully endorses and adheres </w:t>
      </w:r>
      <w:r w:rsidRPr="00092DBE">
        <w:rPr>
          <w:rFonts w:ascii="Calibri" w:hAnsi="Calibri"/>
          <w:sz w:val="22"/>
          <w:szCs w:val="22"/>
        </w:rPr>
        <w:t>to the</w:t>
      </w:r>
      <w:r w:rsidR="00092DBE" w:rsidRPr="00092DBE">
        <w:rPr>
          <w:rFonts w:ascii="Calibri" w:hAnsi="Calibri"/>
          <w:sz w:val="22"/>
          <w:szCs w:val="22"/>
        </w:rPr>
        <w:t xml:space="preserve"> Data Protection Act 2018</w:t>
      </w:r>
      <w:r w:rsidR="00092DBE">
        <w:rPr>
          <w:rFonts w:ascii="Calibri" w:hAnsi="Calibri"/>
          <w:sz w:val="22"/>
          <w:szCs w:val="22"/>
        </w:rPr>
        <w:t xml:space="preserve"> which i</w:t>
      </w:r>
      <w:r w:rsidR="00092DBE" w:rsidRPr="00092DBE">
        <w:rPr>
          <w:rFonts w:ascii="Calibri" w:hAnsi="Calibri"/>
          <w:sz w:val="22"/>
          <w:szCs w:val="22"/>
        </w:rPr>
        <w:t>s the UK’s implementation of the General Da</w:t>
      </w:r>
      <w:r w:rsidR="00092DBE">
        <w:rPr>
          <w:rFonts w:ascii="Calibri" w:hAnsi="Calibri"/>
          <w:sz w:val="22"/>
          <w:szCs w:val="22"/>
        </w:rPr>
        <w:t xml:space="preserve">ta Protection Regulation (GDPR).  The </w:t>
      </w:r>
      <w:r w:rsidR="00092DBE" w:rsidRPr="00092DBE">
        <w:rPr>
          <w:rFonts w:ascii="Calibri" w:hAnsi="Calibri"/>
          <w:sz w:val="22"/>
          <w:szCs w:val="22"/>
        </w:rPr>
        <w:t>Data Protection Act 2018</w:t>
      </w:r>
      <w:r w:rsidR="00092DBE">
        <w:rPr>
          <w:rFonts w:ascii="Calibri" w:hAnsi="Calibri"/>
          <w:sz w:val="22"/>
          <w:szCs w:val="22"/>
        </w:rPr>
        <w:t xml:space="preserve"> </w:t>
      </w:r>
      <w:r w:rsidRPr="004A1194">
        <w:rPr>
          <w:rFonts w:ascii="Calibri" w:hAnsi="Calibri"/>
          <w:sz w:val="22"/>
          <w:szCs w:val="22"/>
        </w:rPr>
        <w:t>(the 'Act' for purposes of this policy)</w:t>
      </w:r>
      <w:r w:rsidR="00092DBE">
        <w:rPr>
          <w:rFonts w:ascii="Calibri" w:hAnsi="Calibri"/>
          <w:sz w:val="22"/>
          <w:szCs w:val="22"/>
        </w:rPr>
        <w:t xml:space="preserve"> was introduced in May and a</w:t>
      </w:r>
      <w:r w:rsidRPr="004A1194">
        <w:rPr>
          <w:rFonts w:ascii="Calibri" w:hAnsi="Calibri"/>
          <w:sz w:val="22"/>
          <w:szCs w:val="22"/>
        </w:rPr>
        <w:t xml:space="preserve">ll FPH employees and other individuals who obtain, handle, process, disclose, transport and store personal data for FPH are expected to adhere to these principles.  </w:t>
      </w:r>
    </w:p>
    <w:p w:rsidR="008B23A7" w:rsidRPr="00864F12" w:rsidRDefault="008B23A7">
      <w:pPr>
        <w:rPr>
          <w:rFonts w:ascii="Calibri" w:hAnsi="Calibri"/>
          <w:color w:val="000000"/>
          <w:sz w:val="14"/>
          <w:szCs w:val="22"/>
        </w:rPr>
      </w:pP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The</w:t>
      </w:r>
      <w:r w:rsidR="00AC0460" w:rsidRPr="005430CD">
        <w:rPr>
          <w:rFonts w:ascii="Calibri" w:hAnsi="Calibri"/>
          <w:bCs/>
          <w:iCs/>
          <w:color w:val="2E74B5"/>
          <w:szCs w:val="22"/>
          <w:lang w:val="en-GB"/>
        </w:rPr>
        <w:t xml:space="preserve"> guiding</w:t>
      </w:r>
      <w:r w:rsidRPr="005430CD">
        <w:rPr>
          <w:rFonts w:ascii="Calibri" w:hAnsi="Calibri"/>
          <w:bCs/>
          <w:iCs/>
          <w:color w:val="2E74B5"/>
          <w:szCs w:val="22"/>
          <w:lang w:val="en-GB"/>
        </w:rPr>
        <w:t xml:space="preserve"> principles of </w:t>
      </w:r>
      <w:r w:rsidR="0097047C" w:rsidRPr="005430CD">
        <w:rPr>
          <w:rFonts w:ascii="Calibri" w:hAnsi="Calibri"/>
          <w:bCs/>
          <w:iCs/>
          <w:color w:val="2E74B5"/>
          <w:szCs w:val="22"/>
          <w:lang w:val="en-GB"/>
        </w:rPr>
        <w:t xml:space="preserve">GDPR </w:t>
      </w:r>
      <w:r w:rsidRPr="005430CD">
        <w:rPr>
          <w:rFonts w:ascii="Calibri" w:hAnsi="Calibri"/>
          <w:bCs/>
          <w:iCs/>
          <w:color w:val="2E74B5"/>
          <w:szCs w:val="22"/>
          <w:lang w:val="en-GB"/>
        </w:rPr>
        <w:t xml:space="preserve">are </w:t>
      </w:r>
      <w:r w:rsidR="0097047C" w:rsidRPr="005430CD">
        <w:rPr>
          <w:rFonts w:ascii="Calibri" w:hAnsi="Calibri"/>
          <w:bCs/>
          <w:iCs/>
          <w:color w:val="2E74B5"/>
          <w:szCs w:val="22"/>
          <w:lang w:val="en-GB"/>
        </w:rPr>
        <w:t>as follows</w:t>
      </w:r>
      <w:r w:rsidRPr="005430CD">
        <w:rPr>
          <w:rFonts w:ascii="Calibri" w:hAnsi="Calibri"/>
          <w:bCs/>
          <w:iCs/>
          <w:color w:val="2E74B5"/>
          <w:szCs w:val="22"/>
          <w:lang w:val="en-GB"/>
        </w:rPr>
        <w:t>:</w:t>
      </w:r>
    </w:p>
    <w:p w:rsidR="001B132C" w:rsidRPr="001B132C" w:rsidRDefault="001B132C" w:rsidP="00643F83">
      <w:pPr>
        <w:jc w:val="center"/>
        <w:rPr>
          <w:lang w:eastAsia="en-US" w:bidi="en-US"/>
        </w:rPr>
      </w:pPr>
    </w:p>
    <w:p w:rsidR="0097047C" w:rsidRPr="004A1194" w:rsidRDefault="0097047C" w:rsidP="00643F83">
      <w:pPr>
        <w:pStyle w:val="BodyText"/>
        <w:tabs>
          <w:tab w:val="center" w:pos="5178"/>
        </w:tabs>
        <w:spacing w:after="0"/>
        <w:ind w:left="720"/>
        <w:rPr>
          <w:rFonts w:ascii="Calibri" w:hAnsi="Calibri"/>
          <w:color w:val="000000"/>
          <w:sz w:val="22"/>
          <w:szCs w:val="22"/>
        </w:rPr>
      </w:pPr>
      <w:r w:rsidRPr="004A1194">
        <w:rPr>
          <w:rFonts w:ascii="Calibri" w:hAnsi="Calibri"/>
          <w:sz w:val="22"/>
          <w:szCs w:val="22"/>
        </w:rPr>
        <w:t>(a) – lawfulness, fairness and transparency</w:t>
      </w:r>
      <w:r w:rsidR="00643F83">
        <w:rPr>
          <w:rFonts w:ascii="Calibri" w:hAnsi="Calibri"/>
          <w:sz w:val="22"/>
          <w:szCs w:val="22"/>
        </w:rPr>
        <w:tab/>
      </w:r>
    </w:p>
    <w:p w:rsidR="0097047C" w:rsidRPr="004A1194" w:rsidRDefault="0097047C" w:rsidP="00554CDC">
      <w:pPr>
        <w:pStyle w:val="BodyText"/>
        <w:spacing w:after="0"/>
        <w:ind w:left="720"/>
        <w:rPr>
          <w:rFonts w:ascii="Calibri" w:hAnsi="Calibri"/>
          <w:color w:val="000000"/>
          <w:sz w:val="22"/>
          <w:szCs w:val="22"/>
        </w:rPr>
      </w:pPr>
      <w:r w:rsidRPr="004A1194">
        <w:rPr>
          <w:rFonts w:ascii="Calibri" w:hAnsi="Calibri"/>
          <w:sz w:val="22"/>
          <w:szCs w:val="22"/>
        </w:rPr>
        <w:t>(b) – purpose limitation</w:t>
      </w:r>
    </w:p>
    <w:p w:rsidR="0097047C" w:rsidRPr="004A1194" w:rsidRDefault="0097047C" w:rsidP="00554CDC">
      <w:pPr>
        <w:pStyle w:val="BodyText"/>
        <w:spacing w:after="0"/>
        <w:ind w:left="720"/>
        <w:rPr>
          <w:rFonts w:ascii="Calibri" w:hAnsi="Calibri"/>
          <w:color w:val="000000"/>
          <w:sz w:val="22"/>
          <w:szCs w:val="22"/>
        </w:rPr>
      </w:pPr>
      <w:r w:rsidRPr="004A1194">
        <w:rPr>
          <w:rFonts w:ascii="Calibri" w:hAnsi="Calibri"/>
          <w:sz w:val="22"/>
          <w:szCs w:val="22"/>
        </w:rPr>
        <w:t>(c) – data minimisation</w:t>
      </w:r>
    </w:p>
    <w:p w:rsidR="0097047C" w:rsidRPr="004A1194" w:rsidRDefault="0097047C" w:rsidP="00554CDC">
      <w:pPr>
        <w:pStyle w:val="BodyText"/>
        <w:spacing w:after="0"/>
        <w:ind w:left="720"/>
        <w:rPr>
          <w:rFonts w:ascii="Calibri" w:hAnsi="Calibri"/>
          <w:color w:val="000000"/>
          <w:sz w:val="22"/>
          <w:szCs w:val="22"/>
        </w:rPr>
      </w:pPr>
      <w:r w:rsidRPr="004A1194">
        <w:rPr>
          <w:rFonts w:ascii="Calibri" w:hAnsi="Calibri"/>
          <w:sz w:val="22"/>
          <w:szCs w:val="22"/>
        </w:rPr>
        <w:t>(d) – accuracy</w:t>
      </w:r>
    </w:p>
    <w:p w:rsidR="0097047C" w:rsidRPr="004A1194" w:rsidRDefault="0097047C" w:rsidP="00554CDC">
      <w:pPr>
        <w:pStyle w:val="BodyText"/>
        <w:spacing w:after="0"/>
        <w:ind w:left="720"/>
        <w:rPr>
          <w:rFonts w:ascii="Calibri" w:hAnsi="Calibri"/>
          <w:color w:val="000000"/>
          <w:sz w:val="22"/>
          <w:szCs w:val="22"/>
        </w:rPr>
      </w:pPr>
      <w:r w:rsidRPr="004A1194">
        <w:rPr>
          <w:rFonts w:ascii="Calibri" w:hAnsi="Calibri"/>
          <w:sz w:val="22"/>
          <w:szCs w:val="22"/>
        </w:rPr>
        <w:t>(e) – storage limitation</w:t>
      </w:r>
    </w:p>
    <w:p w:rsidR="0097047C" w:rsidRPr="00864F12" w:rsidRDefault="0097047C" w:rsidP="00864F12">
      <w:pPr>
        <w:ind w:firstLine="720"/>
        <w:rPr>
          <w:rFonts w:ascii="Calibri" w:hAnsi="Calibri"/>
          <w:color w:val="000000"/>
          <w:sz w:val="14"/>
          <w:szCs w:val="22"/>
        </w:rPr>
      </w:pPr>
      <w:r w:rsidRPr="004A1194">
        <w:rPr>
          <w:rFonts w:ascii="Calibri" w:hAnsi="Calibri"/>
          <w:sz w:val="22"/>
          <w:szCs w:val="22"/>
        </w:rPr>
        <w:t>(f) – integrity and confidentiality</w:t>
      </w:r>
      <w:r w:rsidR="004C4DCB">
        <w:rPr>
          <w:rFonts w:ascii="Calibri" w:hAnsi="Calibri"/>
          <w:sz w:val="22"/>
          <w:szCs w:val="22"/>
        </w:rPr>
        <w:br/>
      </w:r>
    </w:p>
    <w:p w:rsidR="001B132C" w:rsidRDefault="004C4DCB" w:rsidP="004C4DCB">
      <w:pPr>
        <w:pStyle w:val="Heading31"/>
        <w:keepNext/>
        <w:tabs>
          <w:tab w:val="left" w:pos="0"/>
          <w:tab w:val="left" w:pos="1134"/>
        </w:tabs>
        <w:rPr>
          <w:rFonts w:ascii="Calibri" w:hAnsi="Calibri"/>
          <w:bCs/>
          <w:iCs/>
          <w:color w:val="2E74B5"/>
          <w:szCs w:val="22"/>
          <w:lang w:val="en-GB"/>
        </w:rPr>
      </w:pPr>
      <w:r w:rsidRPr="004C4DCB">
        <w:rPr>
          <w:rFonts w:ascii="Calibri" w:hAnsi="Calibri"/>
          <w:bCs/>
          <w:iCs/>
          <w:color w:val="2E74B5"/>
          <w:szCs w:val="22"/>
          <w:lang w:val="en-GB"/>
        </w:rPr>
        <w:t>In more detail</w:t>
      </w:r>
      <w:r w:rsidR="001B132C">
        <w:rPr>
          <w:rFonts w:ascii="Calibri" w:hAnsi="Calibri"/>
          <w:bCs/>
          <w:iCs/>
          <w:color w:val="2E74B5"/>
          <w:szCs w:val="22"/>
          <w:lang w:val="en-GB"/>
        </w:rPr>
        <w:t>:</w:t>
      </w:r>
    </w:p>
    <w:p w:rsidR="00F1408A" w:rsidRPr="004C4DCB" w:rsidRDefault="004C4DCB" w:rsidP="004C4DCB">
      <w:pPr>
        <w:pStyle w:val="Heading31"/>
        <w:keepNext/>
        <w:tabs>
          <w:tab w:val="left" w:pos="0"/>
          <w:tab w:val="left" w:pos="1134"/>
        </w:tabs>
        <w:rPr>
          <w:rFonts w:ascii="Calibri" w:hAnsi="Calibri"/>
          <w:bCs/>
          <w:iCs/>
          <w:color w:val="2E74B5"/>
          <w:szCs w:val="22"/>
          <w:lang w:val="en-GB"/>
        </w:rPr>
      </w:pPr>
      <w:r w:rsidRPr="004C4DCB">
        <w:rPr>
          <w:rFonts w:ascii="Calibri" w:hAnsi="Calibri"/>
          <w:bCs/>
          <w:iCs/>
          <w:color w:val="2E74B5"/>
          <w:szCs w:val="22"/>
          <w:lang w:val="en-GB"/>
        </w:rPr>
        <w:t xml:space="preserve"> </w:t>
      </w:r>
    </w:p>
    <w:p w:rsidR="00F1408A" w:rsidRPr="00CE5FC4" w:rsidRDefault="00F1408A" w:rsidP="00F1408A">
      <w:pPr>
        <w:pStyle w:val="Default"/>
        <w:ind w:left="851" w:hanging="851"/>
        <w:rPr>
          <w:rFonts w:ascii="Calibri" w:hAnsi="Calibri"/>
          <w:sz w:val="22"/>
          <w:szCs w:val="22"/>
        </w:rPr>
      </w:pPr>
      <w:r w:rsidRPr="00CE5FC4">
        <w:rPr>
          <w:rFonts w:ascii="Calibri" w:hAnsi="Calibri"/>
          <w:sz w:val="22"/>
          <w:szCs w:val="22"/>
        </w:rPr>
        <w:t>(a)</w:t>
      </w:r>
      <w:r w:rsidRPr="00CE5FC4">
        <w:rPr>
          <w:rFonts w:ascii="Calibri" w:hAnsi="Calibri"/>
          <w:sz w:val="22"/>
          <w:szCs w:val="22"/>
        </w:rPr>
        <w:tab/>
        <w:t xml:space="preserve">data is processed lawfully, fairly and in a transparent manner in relation to individuals (‘lawfulness, fairness and transparency’); </w:t>
      </w:r>
    </w:p>
    <w:p w:rsidR="00F1408A" w:rsidRPr="00CE5FC4" w:rsidRDefault="00F1408A" w:rsidP="00F1408A">
      <w:pPr>
        <w:pStyle w:val="Default"/>
        <w:ind w:left="851" w:hanging="851"/>
        <w:rPr>
          <w:rFonts w:ascii="Calibri" w:hAnsi="Calibri"/>
          <w:sz w:val="22"/>
          <w:szCs w:val="22"/>
        </w:rPr>
      </w:pPr>
      <w:r w:rsidRPr="00CE5FC4">
        <w:rPr>
          <w:rFonts w:ascii="Calibri" w:hAnsi="Calibri"/>
          <w:sz w:val="22"/>
          <w:szCs w:val="22"/>
        </w:rPr>
        <w:t>(b)</w:t>
      </w:r>
      <w:r w:rsidRPr="00CE5FC4">
        <w:rPr>
          <w:rFonts w:ascii="Calibri" w:hAnsi="Calibri"/>
          <w:sz w:val="22"/>
          <w:szCs w:val="22"/>
        </w:rPr>
        <w:tab/>
        <w:t>i</w:t>
      </w:r>
      <w:r w:rsidR="004C4DCB">
        <w:rPr>
          <w:rFonts w:ascii="Calibri" w:hAnsi="Calibri"/>
          <w:sz w:val="22"/>
          <w:szCs w:val="22"/>
        </w:rPr>
        <w:t>s</w:t>
      </w:r>
      <w:r w:rsidRPr="00CE5FC4">
        <w:rPr>
          <w:rFonts w:ascii="Calibri" w:hAnsi="Calibri"/>
          <w:sz w:val="22"/>
          <w:szCs w:val="22"/>
        </w:rPr>
        <w:t xml:space="preserv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(‘purpose limitation’); </w:t>
      </w:r>
    </w:p>
    <w:p w:rsidR="00F1408A" w:rsidRPr="00CE5FC4" w:rsidRDefault="00F1408A" w:rsidP="00F1408A">
      <w:pPr>
        <w:pStyle w:val="Default"/>
        <w:ind w:left="851" w:hanging="851"/>
        <w:rPr>
          <w:rFonts w:ascii="Calibri" w:hAnsi="Calibri"/>
          <w:sz w:val="22"/>
          <w:szCs w:val="22"/>
        </w:rPr>
      </w:pPr>
      <w:r w:rsidRPr="00CE5FC4">
        <w:rPr>
          <w:rFonts w:ascii="Calibri" w:hAnsi="Calibri"/>
          <w:sz w:val="22"/>
          <w:szCs w:val="22"/>
        </w:rPr>
        <w:t xml:space="preserve">(c) </w:t>
      </w:r>
      <w:r w:rsidRPr="00CE5FC4">
        <w:rPr>
          <w:rFonts w:ascii="Calibri" w:hAnsi="Calibri"/>
          <w:sz w:val="22"/>
          <w:szCs w:val="22"/>
        </w:rPr>
        <w:tab/>
        <w:t xml:space="preserve">adequate, relevant and limited to what is necessary in relation to the purposes for which they are processed (‘data minimisation’); </w:t>
      </w:r>
    </w:p>
    <w:p w:rsidR="00F1408A" w:rsidRPr="00CE5FC4" w:rsidRDefault="00F1408A" w:rsidP="00F1408A">
      <w:pPr>
        <w:pStyle w:val="Default"/>
        <w:ind w:left="851" w:hanging="851"/>
        <w:rPr>
          <w:rFonts w:ascii="Calibri" w:hAnsi="Calibri"/>
          <w:sz w:val="22"/>
          <w:szCs w:val="22"/>
        </w:rPr>
      </w:pPr>
      <w:r w:rsidRPr="00CE5FC4">
        <w:rPr>
          <w:rFonts w:ascii="Calibri" w:hAnsi="Calibri"/>
          <w:sz w:val="22"/>
          <w:szCs w:val="22"/>
        </w:rPr>
        <w:t xml:space="preserve">(d) </w:t>
      </w:r>
      <w:r w:rsidRPr="00CE5FC4">
        <w:rPr>
          <w:rFonts w:ascii="Calibri" w:hAnsi="Calibri"/>
          <w:sz w:val="22"/>
          <w:szCs w:val="22"/>
        </w:rPr>
        <w:tab/>
        <w:t xml:space="preserve">accurate and, where necessary, kept up to date; every reasonable step must be taken to ensure that personal data that are inaccurate, having regard to the purposes for which they are processed, are erased or rectified without delay (‘accuracy’); </w:t>
      </w:r>
    </w:p>
    <w:p w:rsidR="00F1408A" w:rsidRPr="00CE5FC4" w:rsidRDefault="00F1408A" w:rsidP="00F1408A">
      <w:pPr>
        <w:pStyle w:val="Default"/>
        <w:ind w:left="851" w:hanging="851"/>
        <w:rPr>
          <w:rFonts w:ascii="Calibri" w:hAnsi="Calibri"/>
          <w:sz w:val="22"/>
          <w:szCs w:val="22"/>
        </w:rPr>
      </w:pPr>
      <w:r w:rsidRPr="00CE5FC4">
        <w:rPr>
          <w:rFonts w:ascii="Calibri" w:hAnsi="Calibri"/>
          <w:sz w:val="22"/>
          <w:szCs w:val="22"/>
        </w:rPr>
        <w:t xml:space="preserve">(e) </w:t>
      </w:r>
      <w:r w:rsidRPr="00CE5FC4">
        <w:rPr>
          <w:rFonts w:ascii="Calibri" w:hAnsi="Calibri"/>
          <w:sz w:val="22"/>
          <w:szCs w:val="22"/>
        </w:rPr>
        <w:tab/>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w:t>
      </w:r>
      <w:bookmarkStart w:id="0" w:name="_GoBack"/>
      <w:r w:rsidRPr="00CE5FC4">
        <w:rPr>
          <w:rFonts w:ascii="Calibri" w:hAnsi="Calibri"/>
          <w:sz w:val="22"/>
          <w:szCs w:val="22"/>
        </w:rPr>
        <w:lastRenderedPageBreak/>
        <w:t xml:space="preserve">interest, scientific or historical research purposes or statistical purposes subject to </w:t>
      </w:r>
      <w:bookmarkEnd w:id="0"/>
      <w:r w:rsidRPr="00CE5FC4">
        <w:rPr>
          <w:rFonts w:ascii="Calibri" w:hAnsi="Calibri"/>
          <w:sz w:val="22"/>
          <w:szCs w:val="22"/>
        </w:rPr>
        <w:t xml:space="preserve">implementation of the appropriate technical and organisational measures required by the GDPR in order to safeguard the rights and freedoms of individuals (‘storage limitation’); </w:t>
      </w:r>
    </w:p>
    <w:p w:rsidR="00F1408A" w:rsidRPr="00F1408A" w:rsidRDefault="00F1408A" w:rsidP="00F1408A">
      <w:pPr>
        <w:ind w:left="851" w:hanging="851"/>
        <w:rPr>
          <w:rFonts w:ascii="Calibri" w:eastAsia="Times New Roman" w:hAnsi="Calibri" w:cs="Verdana"/>
          <w:color w:val="000000"/>
          <w:sz w:val="22"/>
          <w:szCs w:val="22"/>
        </w:rPr>
      </w:pPr>
      <w:r w:rsidRPr="00F1408A">
        <w:rPr>
          <w:rFonts w:ascii="Calibri" w:eastAsia="Times New Roman" w:hAnsi="Calibri" w:cs="Verdana"/>
          <w:color w:val="000000"/>
          <w:sz w:val="22"/>
          <w:szCs w:val="22"/>
        </w:rPr>
        <w:t xml:space="preserve">(f) </w:t>
      </w:r>
      <w:r w:rsidRPr="00F1408A">
        <w:rPr>
          <w:rFonts w:ascii="Calibri" w:eastAsia="Times New Roman" w:hAnsi="Calibri" w:cs="Verdana"/>
          <w:color w:val="000000"/>
          <w:sz w:val="22"/>
          <w:szCs w:val="22"/>
        </w:rPr>
        <w:tab/>
        <w:t xml:space="preserve">processed in a manner that ensures appropriate security of the personal data, including protection against unauthorised or unlawful processing and against accidental loss, destruction or damage, using appropriate technical or organisational measures (‘integrity and confidentiality’).”  </w:t>
      </w:r>
    </w:p>
    <w:p w:rsidR="00F1408A" w:rsidRPr="00864F12" w:rsidRDefault="00F1408A">
      <w:pPr>
        <w:rPr>
          <w:rFonts w:ascii="Calibri" w:hAnsi="Calibri"/>
          <w:color w:val="000000"/>
          <w:sz w:val="14"/>
          <w:szCs w:val="22"/>
        </w:rPr>
      </w:pPr>
    </w:p>
    <w:p w:rsidR="008B524F" w:rsidRPr="00864F12" w:rsidRDefault="008B23A7" w:rsidP="00363898">
      <w:pPr>
        <w:rPr>
          <w:rFonts w:ascii="Calibri" w:hAnsi="Calibri"/>
          <w:color w:val="000000"/>
          <w:sz w:val="14"/>
          <w:szCs w:val="22"/>
        </w:rPr>
      </w:pPr>
      <w:r w:rsidRPr="004A1194">
        <w:rPr>
          <w:rFonts w:ascii="Calibri" w:hAnsi="Calibri"/>
          <w:color w:val="000000"/>
          <w:sz w:val="22"/>
          <w:szCs w:val="22"/>
        </w:rPr>
        <w:t xml:space="preserve">FPH has put in place appropriate organisational and management </w:t>
      </w:r>
      <w:r w:rsidR="00BB1AF9" w:rsidRPr="004A1194">
        <w:rPr>
          <w:rFonts w:ascii="Calibri" w:hAnsi="Calibri"/>
          <w:color w:val="000000"/>
          <w:sz w:val="22"/>
          <w:szCs w:val="22"/>
        </w:rPr>
        <w:t>controls to</w:t>
      </w:r>
      <w:r w:rsidRPr="004A1194">
        <w:rPr>
          <w:rFonts w:ascii="Calibri" w:hAnsi="Calibri"/>
          <w:color w:val="000000"/>
          <w:sz w:val="22"/>
          <w:szCs w:val="22"/>
        </w:rPr>
        <w:t xml:space="preserve"> ensure it meets its obligations to observe these principles.  These are outlined in the FPH Data Protection Procedures and Guidance document and summarised below.</w:t>
      </w:r>
      <w:r w:rsidR="00363898">
        <w:rPr>
          <w:rFonts w:ascii="Calibri" w:hAnsi="Calibri"/>
          <w:color w:val="000000"/>
          <w:sz w:val="22"/>
          <w:szCs w:val="22"/>
        </w:rPr>
        <w:br/>
      </w:r>
    </w:p>
    <w:p w:rsidR="00870590" w:rsidRDefault="00363898" w:rsidP="00870590">
      <w:pPr>
        <w:pStyle w:val="Heading31"/>
        <w:keepNext/>
        <w:tabs>
          <w:tab w:val="left" w:pos="0"/>
          <w:tab w:val="left" w:pos="1134"/>
        </w:tabs>
        <w:rPr>
          <w:rFonts w:ascii="Calibri" w:hAnsi="Calibri"/>
          <w:bCs/>
          <w:iCs/>
          <w:color w:val="2E74B5"/>
          <w:szCs w:val="22"/>
          <w:lang w:val="en-GB"/>
        </w:rPr>
      </w:pPr>
      <w:r>
        <w:rPr>
          <w:rFonts w:ascii="Calibri" w:hAnsi="Calibri"/>
          <w:bCs/>
          <w:iCs/>
          <w:color w:val="2E74B5"/>
          <w:szCs w:val="22"/>
          <w:lang w:val="en-GB"/>
        </w:rPr>
        <w:t>Main</w:t>
      </w:r>
      <w:r w:rsidR="0055542B">
        <w:rPr>
          <w:rFonts w:ascii="Calibri" w:hAnsi="Calibri"/>
          <w:bCs/>
          <w:iCs/>
          <w:color w:val="2E74B5"/>
          <w:szCs w:val="22"/>
          <w:lang w:val="en-GB"/>
        </w:rPr>
        <w:t xml:space="preserve"> role definitions</w:t>
      </w:r>
    </w:p>
    <w:p w:rsidR="001B132C" w:rsidRPr="001B132C" w:rsidRDefault="001B132C" w:rsidP="001B132C">
      <w:pPr>
        <w:rPr>
          <w:lang w:eastAsia="en-US" w:bidi="en-US"/>
        </w:rPr>
      </w:pPr>
    </w:p>
    <w:p w:rsidR="00870590" w:rsidRPr="00363898" w:rsidRDefault="00870590" w:rsidP="00870590">
      <w:pPr>
        <w:pStyle w:val="NoSpacing"/>
        <w:numPr>
          <w:ilvl w:val="0"/>
          <w:numId w:val="8"/>
        </w:numPr>
      </w:pPr>
      <w:r w:rsidRPr="00363898">
        <w:rPr>
          <w:color w:val="2E74B5"/>
        </w:rPr>
        <w:t xml:space="preserve">Processing </w:t>
      </w:r>
      <w:r w:rsidRPr="00363898">
        <w:t>is the act of obtaining, recording, holding or using personal data.</w:t>
      </w:r>
    </w:p>
    <w:p w:rsidR="00870590" w:rsidRPr="00363898" w:rsidRDefault="00870590" w:rsidP="00870590">
      <w:pPr>
        <w:pStyle w:val="NoSpacing"/>
        <w:numPr>
          <w:ilvl w:val="0"/>
          <w:numId w:val="8"/>
        </w:numPr>
      </w:pPr>
      <w:r w:rsidRPr="00363898">
        <w:rPr>
          <w:color w:val="2E74B5"/>
        </w:rPr>
        <w:t>Data subject</w:t>
      </w:r>
      <w:r w:rsidRPr="00363898">
        <w:t xml:space="preserve"> is an individual who is the subject of personal data (a data subject must be alive).</w:t>
      </w:r>
    </w:p>
    <w:p w:rsidR="00870590" w:rsidRPr="00363898" w:rsidRDefault="00870590" w:rsidP="00870590">
      <w:pPr>
        <w:pStyle w:val="NoSpacing"/>
        <w:numPr>
          <w:ilvl w:val="0"/>
          <w:numId w:val="8"/>
        </w:numPr>
      </w:pPr>
      <w:r w:rsidRPr="00363898">
        <w:rPr>
          <w:color w:val="2E74B5"/>
        </w:rPr>
        <w:t>Data controller</w:t>
      </w:r>
      <w:r w:rsidRPr="00363898">
        <w:t xml:space="preserve"> is a person or organisation that decides how personal data is processed. </w:t>
      </w:r>
    </w:p>
    <w:p w:rsidR="00363898" w:rsidRPr="00363898" w:rsidRDefault="00870590" w:rsidP="00363898">
      <w:pPr>
        <w:pStyle w:val="NoSpacing"/>
        <w:numPr>
          <w:ilvl w:val="0"/>
          <w:numId w:val="8"/>
        </w:numPr>
      </w:pPr>
      <w:r w:rsidRPr="00363898">
        <w:rPr>
          <w:color w:val="2E74B5"/>
        </w:rPr>
        <w:t>Data processor</w:t>
      </w:r>
      <w:r w:rsidRPr="00363898">
        <w:t xml:space="preserve"> is any person or organisation that processes data on behalf of the data controller.</w:t>
      </w:r>
    </w:p>
    <w:p w:rsidR="00870590" w:rsidRPr="00864F12" w:rsidRDefault="00870590" w:rsidP="00864F12">
      <w:pPr>
        <w:rPr>
          <w:rFonts w:ascii="Calibri" w:hAnsi="Calibri"/>
          <w:color w:val="000000"/>
          <w:sz w:val="14"/>
          <w:szCs w:val="22"/>
        </w:rPr>
      </w:pPr>
    </w:p>
    <w:p w:rsidR="008B23A7" w:rsidRDefault="008B23A7" w:rsidP="00864F12">
      <w:pPr>
        <w:pStyle w:val="Heading31"/>
        <w:keepNext/>
        <w:tabs>
          <w:tab w:val="left" w:pos="0"/>
          <w:tab w:val="left" w:pos="1134"/>
        </w:tabs>
        <w:rPr>
          <w:rFonts w:ascii="Calibri" w:hAnsi="Calibri"/>
          <w:bCs/>
          <w:iCs/>
          <w:color w:val="2E74B5"/>
          <w:szCs w:val="22"/>
          <w:lang w:val="en-GB"/>
        </w:rPr>
      </w:pPr>
      <w:r w:rsidRPr="00864F12">
        <w:rPr>
          <w:rFonts w:ascii="Calibri" w:hAnsi="Calibri"/>
          <w:bCs/>
          <w:iCs/>
          <w:color w:val="2E74B5"/>
          <w:szCs w:val="22"/>
          <w:lang w:val="en-GB"/>
        </w:rPr>
        <w:t>Subject Consent</w:t>
      </w:r>
    </w:p>
    <w:p w:rsidR="001B132C" w:rsidRPr="001B132C" w:rsidRDefault="001B132C" w:rsidP="001B132C">
      <w:pPr>
        <w:rPr>
          <w:lang w:eastAsia="en-US" w:bidi="en-US"/>
        </w:rPr>
      </w:pPr>
    </w:p>
    <w:p w:rsidR="008B23A7" w:rsidRPr="00864F12" w:rsidRDefault="008B524F">
      <w:pPr>
        <w:rPr>
          <w:rFonts w:ascii="Calibri" w:hAnsi="Calibri"/>
          <w:color w:val="000000"/>
          <w:sz w:val="14"/>
          <w:szCs w:val="22"/>
        </w:rPr>
      </w:pPr>
      <w:r w:rsidRPr="004A1194">
        <w:rPr>
          <w:rFonts w:ascii="Calibri" w:hAnsi="Calibri"/>
          <w:sz w:val="22"/>
          <w:szCs w:val="22"/>
        </w:rPr>
        <w:t xml:space="preserve">FPH has identified the lawful purposes for which it collects data – this is known as the </w:t>
      </w:r>
      <w:r w:rsidR="00092DBE">
        <w:rPr>
          <w:rFonts w:ascii="Calibri" w:hAnsi="Calibri"/>
          <w:sz w:val="22"/>
          <w:szCs w:val="22"/>
        </w:rPr>
        <w:t>“</w:t>
      </w:r>
      <w:r w:rsidRPr="004A1194">
        <w:rPr>
          <w:rFonts w:ascii="Calibri" w:hAnsi="Calibri"/>
          <w:sz w:val="22"/>
          <w:szCs w:val="22"/>
        </w:rPr>
        <w:t>legitimate interest</w:t>
      </w:r>
      <w:r w:rsidR="00092DBE">
        <w:rPr>
          <w:rFonts w:ascii="Calibri" w:hAnsi="Calibri"/>
          <w:sz w:val="22"/>
          <w:szCs w:val="22"/>
        </w:rPr>
        <w:t>”</w:t>
      </w:r>
      <w:r w:rsidRPr="004A1194">
        <w:rPr>
          <w:rFonts w:ascii="Calibri" w:hAnsi="Calibri"/>
          <w:sz w:val="22"/>
          <w:szCs w:val="22"/>
        </w:rPr>
        <w:t>.  Much of this data is required so that FPH can meet its contractual agree</w:t>
      </w:r>
      <w:r w:rsidR="00092DBE">
        <w:rPr>
          <w:rFonts w:ascii="Calibri" w:hAnsi="Calibri"/>
          <w:sz w:val="22"/>
          <w:szCs w:val="22"/>
        </w:rPr>
        <w:t>ment with members/clients, and</w:t>
      </w:r>
      <w:r w:rsidRPr="004A1194">
        <w:rPr>
          <w:rFonts w:ascii="Calibri" w:hAnsi="Calibri"/>
          <w:sz w:val="22"/>
          <w:szCs w:val="22"/>
        </w:rPr>
        <w:t xml:space="preserve"> the</w:t>
      </w:r>
      <w:r w:rsidR="00092DBE">
        <w:rPr>
          <w:rFonts w:ascii="Calibri" w:hAnsi="Calibri"/>
          <w:sz w:val="22"/>
          <w:szCs w:val="22"/>
        </w:rPr>
        <w:t>s</w:t>
      </w:r>
      <w:r w:rsidRPr="004A1194">
        <w:rPr>
          <w:rFonts w:ascii="Calibri" w:hAnsi="Calibri"/>
          <w:sz w:val="22"/>
          <w:szCs w:val="22"/>
        </w:rPr>
        <w:t xml:space="preserve">e requirements </w:t>
      </w:r>
      <w:r w:rsidR="008B23A7" w:rsidRPr="004A1194">
        <w:rPr>
          <w:rFonts w:ascii="Calibri" w:hAnsi="Calibri"/>
          <w:sz w:val="22"/>
          <w:szCs w:val="22"/>
        </w:rPr>
        <w:t>to process personal data</w:t>
      </w:r>
      <w:r w:rsidRPr="004A1194">
        <w:rPr>
          <w:rFonts w:ascii="Calibri" w:hAnsi="Calibri"/>
          <w:sz w:val="22"/>
          <w:szCs w:val="22"/>
        </w:rPr>
        <w:t xml:space="preserve"> are made known</w:t>
      </w:r>
      <w:r w:rsidR="008B23A7" w:rsidRPr="004A1194">
        <w:rPr>
          <w:rFonts w:ascii="Calibri" w:hAnsi="Calibri"/>
          <w:sz w:val="22"/>
          <w:szCs w:val="22"/>
        </w:rPr>
        <w:t xml:space="preserve"> to all data subjects</w:t>
      </w:r>
      <w:r w:rsidRPr="004A1194">
        <w:rPr>
          <w:rFonts w:ascii="Calibri" w:hAnsi="Calibri"/>
          <w:sz w:val="22"/>
          <w:szCs w:val="22"/>
        </w:rPr>
        <w:t xml:space="preserve">.  We </w:t>
      </w:r>
      <w:r w:rsidR="008B23A7" w:rsidRPr="004A1194">
        <w:rPr>
          <w:rFonts w:ascii="Calibri" w:hAnsi="Calibri"/>
          <w:sz w:val="22"/>
          <w:szCs w:val="22"/>
        </w:rPr>
        <w:t xml:space="preserve">seek consent from data subjects to process personal data. </w:t>
      </w:r>
      <w:r w:rsidRPr="004A1194">
        <w:rPr>
          <w:rFonts w:ascii="Calibri" w:hAnsi="Calibri"/>
          <w:sz w:val="22"/>
          <w:szCs w:val="22"/>
        </w:rPr>
        <w:t>If we collect any sensitive personal data</w:t>
      </w:r>
      <w:r w:rsidR="008B23A7" w:rsidRPr="004A1194">
        <w:rPr>
          <w:rFonts w:ascii="Calibri" w:hAnsi="Calibri"/>
          <w:sz w:val="22"/>
          <w:szCs w:val="22"/>
        </w:rPr>
        <w:t xml:space="preserve">, for example information about health, race or gender, express consent to process the data will be obtained. </w:t>
      </w:r>
      <w:r w:rsidR="008B23A7" w:rsidRPr="004A1194">
        <w:rPr>
          <w:rStyle w:val="CommentReference"/>
          <w:rFonts w:ascii="Calibri" w:hAnsi="Calibri"/>
          <w:sz w:val="22"/>
          <w:szCs w:val="22"/>
        </w:rPr>
        <w:br/>
      </w: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Subject Access</w:t>
      </w:r>
    </w:p>
    <w:p w:rsidR="001B132C" w:rsidRPr="001B132C" w:rsidRDefault="001B132C" w:rsidP="001B132C">
      <w:pPr>
        <w:rPr>
          <w:lang w:eastAsia="en-US" w:bidi="en-US"/>
        </w:rPr>
      </w:pPr>
    </w:p>
    <w:p w:rsidR="008B23A7" w:rsidRDefault="008B23A7">
      <w:pPr>
        <w:rPr>
          <w:rFonts w:ascii="Calibri" w:hAnsi="Calibri"/>
          <w:sz w:val="22"/>
          <w:szCs w:val="22"/>
        </w:rPr>
      </w:pPr>
      <w:r w:rsidRPr="004A1194">
        <w:rPr>
          <w:rFonts w:ascii="Calibri" w:hAnsi="Calibri"/>
          <w:color w:val="000000"/>
          <w:sz w:val="22"/>
          <w:szCs w:val="22"/>
        </w:rPr>
        <w:t xml:space="preserve">FPH will ensure that </w:t>
      </w:r>
      <w:r w:rsidRPr="004A1194">
        <w:rPr>
          <w:rFonts w:ascii="Calibri" w:hAnsi="Calibri"/>
          <w:sz w:val="22"/>
          <w:szCs w:val="22"/>
        </w:rPr>
        <w:t xml:space="preserve">the rights of individuals who are the subject of personal data held by FPH can be fully exercised. </w:t>
      </w:r>
      <w:r w:rsidR="00870590">
        <w:rPr>
          <w:rFonts w:ascii="Calibri" w:hAnsi="Calibri"/>
          <w:sz w:val="22"/>
          <w:szCs w:val="22"/>
        </w:rPr>
        <w:t>GDPR provides an individual with</w:t>
      </w:r>
      <w:r w:rsidRPr="004A1194">
        <w:rPr>
          <w:rFonts w:ascii="Calibri" w:hAnsi="Calibri"/>
          <w:sz w:val="22"/>
          <w:szCs w:val="22"/>
        </w:rPr>
        <w:t>:</w:t>
      </w:r>
    </w:p>
    <w:p w:rsidR="001B132C" w:rsidRPr="004A1194" w:rsidRDefault="001B132C">
      <w:pPr>
        <w:rPr>
          <w:rFonts w:ascii="Calibri" w:hAnsi="Calibri"/>
          <w:sz w:val="22"/>
          <w:szCs w:val="22"/>
        </w:rPr>
      </w:pPr>
    </w:p>
    <w:p w:rsidR="00870590" w:rsidRPr="00870590" w:rsidRDefault="00870590" w:rsidP="00870590">
      <w:pPr>
        <w:pStyle w:val="NoSpacing"/>
        <w:numPr>
          <w:ilvl w:val="0"/>
          <w:numId w:val="8"/>
        </w:numPr>
        <w:rPr>
          <w:szCs w:val="24"/>
        </w:rPr>
      </w:pPr>
      <w:r w:rsidRPr="00870590">
        <w:rPr>
          <w:szCs w:val="24"/>
        </w:rPr>
        <w:t>The right to be informed</w:t>
      </w:r>
    </w:p>
    <w:p w:rsidR="00870590" w:rsidRPr="00870590" w:rsidRDefault="00870590" w:rsidP="00870590">
      <w:pPr>
        <w:pStyle w:val="NoSpacing"/>
        <w:numPr>
          <w:ilvl w:val="0"/>
          <w:numId w:val="8"/>
        </w:numPr>
        <w:rPr>
          <w:szCs w:val="24"/>
        </w:rPr>
      </w:pPr>
      <w:r w:rsidRPr="00870590">
        <w:rPr>
          <w:szCs w:val="24"/>
        </w:rPr>
        <w:t>The right of access</w:t>
      </w:r>
    </w:p>
    <w:p w:rsidR="00870590" w:rsidRPr="00870590" w:rsidRDefault="00870590" w:rsidP="00870590">
      <w:pPr>
        <w:pStyle w:val="NoSpacing"/>
        <w:numPr>
          <w:ilvl w:val="0"/>
          <w:numId w:val="8"/>
        </w:numPr>
        <w:rPr>
          <w:szCs w:val="24"/>
        </w:rPr>
      </w:pPr>
      <w:r w:rsidRPr="00870590">
        <w:rPr>
          <w:szCs w:val="24"/>
        </w:rPr>
        <w:t>The right to rectification</w:t>
      </w:r>
    </w:p>
    <w:p w:rsidR="00870590" w:rsidRPr="00870590" w:rsidRDefault="00870590" w:rsidP="00870590">
      <w:pPr>
        <w:pStyle w:val="NoSpacing"/>
        <w:numPr>
          <w:ilvl w:val="0"/>
          <w:numId w:val="8"/>
        </w:numPr>
        <w:rPr>
          <w:szCs w:val="24"/>
        </w:rPr>
      </w:pPr>
      <w:r w:rsidRPr="00870590">
        <w:rPr>
          <w:szCs w:val="24"/>
        </w:rPr>
        <w:t>The right to erasure</w:t>
      </w:r>
    </w:p>
    <w:p w:rsidR="00870590" w:rsidRPr="00870590" w:rsidRDefault="00870590" w:rsidP="00870590">
      <w:pPr>
        <w:pStyle w:val="NoSpacing"/>
        <w:numPr>
          <w:ilvl w:val="0"/>
          <w:numId w:val="8"/>
        </w:numPr>
        <w:rPr>
          <w:szCs w:val="24"/>
        </w:rPr>
      </w:pPr>
      <w:r w:rsidRPr="00870590">
        <w:rPr>
          <w:szCs w:val="24"/>
        </w:rPr>
        <w:t>The right to restrict processing</w:t>
      </w:r>
    </w:p>
    <w:p w:rsidR="00870590" w:rsidRPr="00870590" w:rsidRDefault="00870590" w:rsidP="00870590">
      <w:pPr>
        <w:pStyle w:val="NoSpacing"/>
        <w:numPr>
          <w:ilvl w:val="0"/>
          <w:numId w:val="8"/>
        </w:numPr>
        <w:rPr>
          <w:szCs w:val="24"/>
        </w:rPr>
      </w:pPr>
      <w:r w:rsidRPr="00870590">
        <w:rPr>
          <w:szCs w:val="24"/>
        </w:rPr>
        <w:t>The right to data portability</w:t>
      </w:r>
    </w:p>
    <w:p w:rsidR="00870590" w:rsidRPr="00870590" w:rsidRDefault="00870590" w:rsidP="00870590">
      <w:pPr>
        <w:pStyle w:val="NoSpacing"/>
        <w:numPr>
          <w:ilvl w:val="0"/>
          <w:numId w:val="8"/>
        </w:numPr>
        <w:rPr>
          <w:szCs w:val="24"/>
        </w:rPr>
      </w:pPr>
      <w:r w:rsidRPr="00870590">
        <w:rPr>
          <w:szCs w:val="24"/>
        </w:rPr>
        <w:t>The right to object</w:t>
      </w:r>
    </w:p>
    <w:p w:rsidR="00870590" w:rsidRPr="00464BEC" w:rsidRDefault="00870590" w:rsidP="00870590">
      <w:pPr>
        <w:pStyle w:val="NoSpacing"/>
        <w:numPr>
          <w:ilvl w:val="0"/>
          <w:numId w:val="8"/>
        </w:numPr>
        <w:rPr>
          <w:sz w:val="24"/>
          <w:szCs w:val="24"/>
        </w:rPr>
      </w:pPr>
      <w:r w:rsidRPr="00870590">
        <w:rPr>
          <w:szCs w:val="24"/>
        </w:rPr>
        <w:t>Rights in relation to automated decision making and profiling</w:t>
      </w:r>
      <w:r w:rsidRPr="00464BEC">
        <w:rPr>
          <w:sz w:val="24"/>
          <w:szCs w:val="24"/>
        </w:rPr>
        <w:t>.</w:t>
      </w:r>
    </w:p>
    <w:p w:rsidR="008B23A7" w:rsidRPr="00864F12" w:rsidRDefault="008B23A7" w:rsidP="009C6E8B">
      <w:pPr>
        <w:rPr>
          <w:rFonts w:ascii="Calibri" w:hAnsi="Calibri"/>
          <w:color w:val="000000"/>
          <w:sz w:val="14"/>
          <w:szCs w:val="22"/>
        </w:rPr>
      </w:pPr>
    </w:p>
    <w:p w:rsidR="008B23A7" w:rsidRPr="00B13472" w:rsidRDefault="008B23A7" w:rsidP="00B13472">
      <w:pPr>
        <w:jc w:val="both"/>
        <w:rPr>
          <w:rFonts w:ascii="Calibri" w:hAnsi="Calibri"/>
          <w:color w:val="000000"/>
          <w:sz w:val="22"/>
          <w:szCs w:val="22"/>
        </w:rPr>
      </w:pPr>
      <w:r w:rsidRPr="00864F12">
        <w:rPr>
          <w:rFonts w:ascii="Calibri" w:hAnsi="Calibri"/>
          <w:color w:val="000000"/>
          <w:sz w:val="22"/>
          <w:szCs w:val="22"/>
        </w:rPr>
        <w:t xml:space="preserve">This is subject to certain exemptions which are set out in </w:t>
      </w:r>
      <w:r w:rsidR="00B13472" w:rsidRPr="00864F12">
        <w:rPr>
          <w:rFonts w:ascii="Calibri" w:hAnsi="Calibri"/>
          <w:color w:val="000000"/>
          <w:sz w:val="22"/>
          <w:szCs w:val="22"/>
        </w:rPr>
        <w:t xml:space="preserve">the </w:t>
      </w:r>
      <w:hyperlink r:id="rId9" w:history="1">
        <w:r w:rsidR="00B13472" w:rsidRPr="00864F12">
          <w:rPr>
            <w:rFonts w:ascii="Calibri" w:hAnsi="Calibri"/>
            <w:color w:val="000000"/>
            <w:sz w:val="22"/>
            <w:szCs w:val="22"/>
          </w:rPr>
          <w:t>ICO website</w:t>
        </w:r>
      </w:hyperlink>
      <w:r w:rsidRPr="00864F12">
        <w:rPr>
          <w:rFonts w:ascii="Calibri" w:hAnsi="Calibri"/>
          <w:color w:val="000000"/>
          <w:sz w:val="22"/>
          <w:szCs w:val="22"/>
        </w:rPr>
        <w:t xml:space="preserve">. </w:t>
      </w:r>
      <w:r w:rsidR="006E4923" w:rsidRPr="00864F12">
        <w:rPr>
          <w:rFonts w:ascii="Calibri" w:hAnsi="Calibri"/>
          <w:color w:val="000000"/>
          <w:sz w:val="22"/>
          <w:szCs w:val="22"/>
        </w:rPr>
        <w:t>Any individual may make a</w:t>
      </w:r>
      <w:r w:rsidR="006E4923" w:rsidRPr="004A1194">
        <w:rPr>
          <w:rFonts w:ascii="Calibri" w:hAnsi="Calibri"/>
          <w:color w:val="000000"/>
          <w:sz w:val="22"/>
          <w:szCs w:val="22"/>
        </w:rPr>
        <w:t xml:space="preserve"> subject access request to any FPH staff member. Although subject access requests may be made verbally, we would advise that a request may be dealt with more efficiently and effectively if it is made in writing. FPH </w:t>
      </w:r>
      <w:r w:rsidR="00B13472">
        <w:rPr>
          <w:rFonts w:ascii="Calibri" w:hAnsi="Calibri"/>
          <w:color w:val="000000"/>
          <w:sz w:val="22"/>
          <w:szCs w:val="22"/>
        </w:rPr>
        <w:t>implemented a revised</w:t>
      </w:r>
      <w:r w:rsidR="006E4923" w:rsidRPr="004A1194">
        <w:rPr>
          <w:rFonts w:ascii="Calibri" w:hAnsi="Calibri"/>
          <w:color w:val="000000"/>
          <w:sz w:val="22"/>
          <w:szCs w:val="22"/>
        </w:rPr>
        <w:t xml:space="preserve"> Subject Access Request Policy</w:t>
      </w:r>
      <w:r w:rsidR="00B13472">
        <w:rPr>
          <w:rFonts w:ascii="Calibri" w:hAnsi="Calibri"/>
          <w:color w:val="000000"/>
          <w:sz w:val="22"/>
          <w:szCs w:val="22"/>
        </w:rPr>
        <w:t xml:space="preserve"> in </w:t>
      </w:r>
      <w:r w:rsidR="001B132C">
        <w:rPr>
          <w:rFonts w:ascii="Calibri" w:hAnsi="Calibri"/>
          <w:color w:val="000000"/>
          <w:sz w:val="22"/>
          <w:szCs w:val="22"/>
        </w:rPr>
        <w:t>summer</w:t>
      </w:r>
      <w:r w:rsidR="00B13472">
        <w:rPr>
          <w:rFonts w:ascii="Calibri" w:hAnsi="Calibri"/>
          <w:color w:val="000000"/>
          <w:sz w:val="22"/>
          <w:szCs w:val="22"/>
        </w:rPr>
        <w:t xml:space="preserve"> 2018</w:t>
      </w:r>
      <w:r w:rsidR="006E4923" w:rsidRPr="004A1194">
        <w:rPr>
          <w:rFonts w:ascii="Calibri" w:hAnsi="Calibri"/>
          <w:color w:val="000000"/>
          <w:sz w:val="22"/>
          <w:szCs w:val="22"/>
        </w:rPr>
        <w:t>.</w:t>
      </w:r>
    </w:p>
    <w:p w:rsidR="00BB1AF9" w:rsidRPr="00864F12" w:rsidRDefault="00BB1AF9">
      <w:pPr>
        <w:rPr>
          <w:rFonts w:ascii="Calibri" w:hAnsi="Calibri"/>
          <w:color w:val="000000"/>
          <w:sz w:val="14"/>
          <w:szCs w:val="22"/>
        </w:rPr>
      </w:pP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Publication of FPH information</w:t>
      </w:r>
    </w:p>
    <w:p w:rsidR="001B132C" w:rsidRPr="001B132C" w:rsidRDefault="001B132C" w:rsidP="001B132C">
      <w:pPr>
        <w:rPr>
          <w:lang w:eastAsia="en-US" w:bidi="en-US"/>
        </w:rPr>
      </w:pPr>
    </w:p>
    <w:p w:rsidR="008B23A7" w:rsidRPr="004A1194" w:rsidRDefault="008B23A7">
      <w:pPr>
        <w:rPr>
          <w:rFonts w:ascii="Calibri" w:hAnsi="Calibri"/>
          <w:sz w:val="22"/>
          <w:szCs w:val="22"/>
        </w:rPr>
      </w:pPr>
      <w:r w:rsidRPr="004A1194">
        <w:rPr>
          <w:rFonts w:ascii="Calibri" w:hAnsi="Calibri"/>
          <w:sz w:val="22"/>
          <w:szCs w:val="22"/>
        </w:rPr>
        <w:t>FPH will seek permission from individuals before transferring any personal data to a third party such as media and will make clear from the outset the nature of the query and the ways in which any information given can be used.</w:t>
      </w:r>
    </w:p>
    <w:p w:rsidR="008B23A7" w:rsidRPr="00864F12" w:rsidRDefault="008B23A7">
      <w:pPr>
        <w:rPr>
          <w:rFonts w:ascii="Calibri" w:hAnsi="Calibri"/>
          <w:color w:val="000000"/>
          <w:sz w:val="14"/>
          <w:szCs w:val="22"/>
        </w:rPr>
      </w:pPr>
    </w:p>
    <w:p w:rsidR="008B23A7" w:rsidRPr="004A1194" w:rsidRDefault="008B23A7">
      <w:pPr>
        <w:rPr>
          <w:rFonts w:ascii="Calibri" w:hAnsi="Calibri"/>
          <w:sz w:val="22"/>
          <w:szCs w:val="22"/>
        </w:rPr>
      </w:pPr>
      <w:r w:rsidRPr="004A1194">
        <w:rPr>
          <w:rFonts w:ascii="Calibri" w:hAnsi="Calibri"/>
          <w:sz w:val="22"/>
          <w:szCs w:val="22"/>
        </w:rPr>
        <w:lastRenderedPageBreak/>
        <w:t>Information that is already in the public domain is exempt from the Act and includes for example information on staff or members contained within externally circulated publications such as the Annual Reports</w:t>
      </w:r>
      <w:r w:rsidR="006E4923" w:rsidRPr="004A1194">
        <w:rPr>
          <w:rFonts w:ascii="Calibri" w:hAnsi="Calibri"/>
          <w:sz w:val="22"/>
          <w:szCs w:val="22"/>
        </w:rPr>
        <w:t xml:space="preserve">, Journal of Public Health </w:t>
      </w:r>
      <w:r w:rsidRPr="004A1194">
        <w:rPr>
          <w:rFonts w:ascii="Calibri" w:hAnsi="Calibri"/>
          <w:sz w:val="22"/>
          <w:szCs w:val="22"/>
        </w:rPr>
        <w:t xml:space="preserve">and </w:t>
      </w:r>
      <w:r w:rsidR="006E4923" w:rsidRPr="004A1194">
        <w:rPr>
          <w:rFonts w:ascii="Calibri" w:hAnsi="Calibri"/>
          <w:i/>
          <w:iCs/>
          <w:sz w:val="22"/>
          <w:szCs w:val="22"/>
        </w:rPr>
        <w:t>P</w:t>
      </w:r>
      <w:r w:rsidR="001B132C">
        <w:rPr>
          <w:rFonts w:ascii="Calibri" w:hAnsi="Calibri"/>
          <w:i/>
          <w:iCs/>
          <w:sz w:val="22"/>
          <w:szCs w:val="22"/>
        </w:rPr>
        <w:t>ublic Health</w:t>
      </w:r>
      <w:r w:rsidR="006E4923" w:rsidRPr="004A1194">
        <w:rPr>
          <w:rFonts w:ascii="Calibri" w:hAnsi="Calibri"/>
          <w:i/>
          <w:iCs/>
          <w:sz w:val="22"/>
          <w:szCs w:val="22"/>
        </w:rPr>
        <w:t xml:space="preserve"> Today</w:t>
      </w:r>
      <w:r w:rsidRPr="004A1194">
        <w:rPr>
          <w:rFonts w:ascii="Calibri" w:hAnsi="Calibri"/>
          <w:sz w:val="22"/>
          <w:szCs w:val="22"/>
        </w:rPr>
        <w:t xml:space="preserve">. </w:t>
      </w:r>
      <w:r w:rsidR="006E4923" w:rsidRPr="004A1194">
        <w:rPr>
          <w:rFonts w:ascii="Calibri" w:hAnsi="Calibri"/>
          <w:sz w:val="22"/>
          <w:szCs w:val="22"/>
        </w:rPr>
        <w:t>(</w:t>
      </w:r>
      <w:r w:rsidR="001B132C" w:rsidRPr="004A1194">
        <w:rPr>
          <w:rFonts w:ascii="Calibri" w:hAnsi="Calibri"/>
          <w:sz w:val="22"/>
          <w:szCs w:val="22"/>
        </w:rPr>
        <w:t>Publications</w:t>
      </w:r>
      <w:r w:rsidR="006E4923" w:rsidRPr="004A1194">
        <w:rPr>
          <w:rFonts w:ascii="Calibri" w:hAnsi="Calibri"/>
          <w:sz w:val="22"/>
          <w:szCs w:val="22"/>
        </w:rPr>
        <w:t xml:space="preserve"> may be hard copy or electronic</w:t>
      </w:r>
      <w:r w:rsidR="001B132C">
        <w:rPr>
          <w:rFonts w:ascii="Calibri" w:hAnsi="Calibri"/>
          <w:sz w:val="22"/>
          <w:szCs w:val="22"/>
        </w:rPr>
        <w:t>.</w:t>
      </w:r>
      <w:r w:rsidR="006E4923" w:rsidRPr="004A1194">
        <w:rPr>
          <w:rFonts w:ascii="Calibri" w:hAnsi="Calibri"/>
          <w:sz w:val="22"/>
          <w:szCs w:val="22"/>
        </w:rPr>
        <w:t>)</w:t>
      </w:r>
    </w:p>
    <w:p w:rsidR="008B23A7" w:rsidRPr="00864F12" w:rsidRDefault="008B23A7">
      <w:pPr>
        <w:rPr>
          <w:rFonts w:ascii="Calibri" w:hAnsi="Calibri"/>
          <w:color w:val="000000"/>
          <w:sz w:val="14"/>
          <w:szCs w:val="22"/>
        </w:rPr>
      </w:pP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Disclosure of data</w:t>
      </w:r>
    </w:p>
    <w:p w:rsidR="001B132C" w:rsidRPr="001B132C" w:rsidRDefault="001B132C" w:rsidP="001B132C">
      <w:pPr>
        <w:rPr>
          <w:lang w:eastAsia="en-US" w:bidi="en-US"/>
        </w:rPr>
      </w:pPr>
    </w:p>
    <w:p w:rsidR="008B23A7" w:rsidRPr="004A1194" w:rsidRDefault="008B23A7">
      <w:pPr>
        <w:rPr>
          <w:rFonts w:ascii="Calibri" w:hAnsi="Calibri"/>
          <w:sz w:val="22"/>
          <w:szCs w:val="22"/>
        </w:rPr>
      </w:pPr>
      <w:r w:rsidRPr="004A1194">
        <w:rPr>
          <w:rFonts w:ascii="Calibri" w:hAnsi="Calibri"/>
          <w:sz w:val="22"/>
          <w:szCs w:val="22"/>
        </w:rPr>
        <w:t>FPH will ensure that personal data are not disclosed to unauthorised third parties which in</w:t>
      </w:r>
      <w:r w:rsidR="00B13472">
        <w:rPr>
          <w:rFonts w:ascii="Calibri" w:hAnsi="Calibri"/>
          <w:sz w:val="22"/>
          <w:szCs w:val="22"/>
        </w:rPr>
        <w:t xml:space="preserve">cludes family members, friends </w:t>
      </w:r>
      <w:r w:rsidR="00B13472" w:rsidRPr="004A1194">
        <w:rPr>
          <w:rFonts w:ascii="Calibri" w:hAnsi="Calibri"/>
          <w:sz w:val="22"/>
          <w:szCs w:val="22"/>
        </w:rPr>
        <w:t>and government</w:t>
      </w:r>
      <w:r w:rsidRPr="004A1194">
        <w:rPr>
          <w:rFonts w:ascii="Calibri" w:hAnsi="Calibri"/>
          <w:sz w:val="22"/>
          <w:szCs w:val="22"/>
        </w:rPr>
        <w:t xml:space="preserve"> bodies and in certain circumstances, the Police without prior notification.</w:t>
      </w:r>
    </w:p>
    <w:p w:rsidR="008B23A7" w:rsidRPr="00864F12" w:rsidRDefault="008B23A7">
      <w:pPr>
        <w:rPr>
          <w:rFonts w:ascii="Calibri" w:hAnsi="Calibri"/>
          <w:color w:val="000000"/>
          <w:sz w:val="14"/>
          <w:szCs w:val="22"/>
        </w:rPr>
      </w:pP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Data security</w:t>
      </w:r>
    </w:p>
    <w:p w:rsidR="001B132C" w:rsidRPr="001B132C" w:rsidRDefault="001B132C" w:rsidP="001B132C">
      <w:pPr>
        <w:rPr>
          <w:lang w:eastAsia="en-US" w:bidi="en-US"/>
        </w:rPr>
      </w:pPr>
    </w:p>
    <w:p w:rsidR="008B23A7" w:rsidRPr="004A1194" w:rsidRDefault="008B23A7">
      <w:pPr>
        <w:rPr>
          <w:rFonts w:ascii="Calibri" w:hAnsi="Calibri"/>
          <w:sz w:val="22"/>
          <w:szCs w:val="22"/>
        </w:rPr>
      </w:pPr>
      <w:r w:rsidRPr="004A1194">
        <w:rPr>
          <w:rFonts w:ascii="Calibri" w:hAnsi="Calibri"/>
          <w:sz w:val="22"/>
          <w:szCs w:val="22"/>
        </w:rPr>
        <w:t xml:space="preserve">FPH will ensure that personal data are kept securely and adequate precautions taken against physical loss or damage regardless of whether it is held </w:t>
      </w:r>
      <w:r w:rsidR="00B13472">
        <w:rPr>
          <w:rFonts w:ascii="Calibri" w:hAnsi="Calibri"/>
          <w:sz w:val="22"/>
          <w:szCs w:val="22"/>
        </w:rPr>
        <w:t xml:space="preserve">in paper or electronic format. </w:t>
      </w:r>
      <w:r w:rsidRPr="004A1194">
        <w:rPr>
          <w:rFonts w:ascii="Calibri" w:hAnsi="Calibri"/>
          <w:sz w:val="22"/>
          <w:szCs w:val="22"/>
        </w:rPr>
        <w:t xml:space="preserve"> </w:t>
      </w:r>
    </w:p>
    <w:p w:rsidR="008B23A7" w:rsidRPr="00864F12" w:rsidRDefault="008B23A7">
      <w:pPr>
        <w:rPr>
          <w:rFonts w:ascii="Calibri" w:hAnsi="Calibri"/>
          <w:color w:val="000000"/>
          <w:sz w:val="14"/>
          <w:szCs w:val="22"/>
        </w:rPr>
      </w:pP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 xml:space="preserve">Data </w:t>
      </w:r>
      <w:r w:rsidR="00B13472" w:rsidRPr="005430CD">
        <w:rPr>
          <w:rFonts w:ascii="Calibri" w:hAnsi="Calibri"/>
          <w:bCs/>
          <w:iCs/>
          <w:color w:val="2E74B5"/>
          <w:szCs w:val="22"/>
          <w:lang w:val="en-GB"/>
        </w:rPr>
        <w:t>retention</w:t>
      </w:r>
      <w:r w:rsidRPr="005430CD">
        <w:rPr>
          <w:rFonts w:ascii="Calibri" w:hAnsi="Calibri"/>
          <w:bCs/>
          <w:iCs/>
          <w:color w:val="2E74B5"/>
          <w:szCs w:val="22"/>
          <w:lang w:val="en-GB"/>
        </w:rPr>
        <w:t xml:space="preserve"> and disposal</w:t>
      </w:r>
    </w:p>
    <w:p w:rsidR="001B132C" w:rsidRPr="001B132C" w:rsidRDefault="001B132C" w:rsidP="001B132C">
      <w:pPr>
        <w:rPr>
          <w:lang w:eastAsia="en-US" w:bidi="en-US"/>
        </w:rPr>
      </w:pPr>
    </w:p>
    <w:p w:rsidR="008B23A7" w:rsidRPr="004A1194" w:rsidRDefault="008B23A7">
      <w:pPr>
        <w:rPr>
          <w:rFonts w:ascii="Calibri" w:hAnsi="Calibri"/>
          <w:color w:val="000000"/>
          <w:sz w:val="22"/>
          <w:szCs w:val="22"/>
        </w:rPr>
      </w:pPr>
      <w:r w:rsidRPr="004A1194">
        <w:rPr>
          <w:rFonts w:ascii="Calibri" w:hAnsi="Calibri"/>
          <w:color w:val="000000"/>
          <w:sz w:val="22"/>
          <w:szCs w:val="22"/>
        </w:rPr>
        <w:t>FPH will retain data only for the period of time required for processing in accordance with the Act and with other relevant laws. FPH will ensure that dat</w:t>
      </w:r>
      <w:r w:rsidR="00B13472">
        <w:rPr>
          <w:rFonts w:ascii="Calibri" w:hAnsi="Calibri"/>
          <w:color w:val="000000"/>
          <w:sz w:val="22"/>
          <w:szCs w:val="22"/>
        </w:rPr>
        <w:t xml:space="preserve">a is disposed of in a way that </w:t>
      </w:r>
      <w:r w:rsidRPr="004A1194">
        <w:rPr>
          <w:rFonts w:ascii="Calibri" w:hAnsi="Calibri"/>
          <w:color w:val="000000"/>
          <w:sz w:val="22"/>
          <w:szCs w:val="22"/>
        </w:rPr>
        <w:t>protects the rights and privacy of data subjects.</w:t>
      </w:r>
    </w:p>
    <w:p w:rsidR="008B23A7" w:rsidRPr="00864F12" w:rsidRDefault="008B23A7">
      <w:pPr>
        <w:rPr>
          <w:rFonts w:ascii="Calibri" w:hAnsi="Calibri"/>
          <w:color w:val="000000"/>
          <w:sz w:val="14"/>
          <w:szCs w:val="22"/>
        </w:rPr>
      </w:pPr>
    </w:p>
    <w:p w:rsidR="008B23A7" w:rsidRDefault="008B23A7" w:rsidP="005430CD">
      <w:pPr>
        <w:pStyle w:val="Heading31"/>
        <w:keepNext/>
        <w:tabs>
          <w:tab w:val="left" w:pos="0"/>
          <w:tab w:val="left" w:pos="1134"/>
        </w:tabs>
        <w:rPr>
          <w:rFonts w:ascii="Calibri" w:hAnsi="Calibri"/>
          <w:bCs/>
          <w:iCs/>
          <w:color w:val="2E74B5"/>
          <w:szCs w:val="22"/>
          <w:lang w:val="en-GB"/>
        </w:rPr>
      </w:pPr>
      <w:r w:rsidRPr="005430CD">
        <w:rPr>
          <w:rFonts w:ascii="Calibri" w:hAnsi="Calibri"/>
          <w:bCs/>
          <w:iCs/>
          <w:color w:val="2E74B5"/>
          <w:szCs w:val="22"/>
          <w:lang w:val="en-GB"/>
        </w:rPr>
        <w:t>Employee supervision, awareness and training</w:t>
      </w:r>
    </w:p>
    <w:p w:rsidR="001B132C" w:rsidRPr="001B132C" w:rsidRDefault="001B132C" w:rsidP="001B132C">
      <w:pPr>
        <w:rPr>
          <w:lang w:eastAsia="en-US" w:bidi="en-US"/>
        </w:rPr>
      </w:pPr>
    </w:p>
    <w:p w:rsidR="008B23A7" w:rsidRDefault="008B23A7">
      <w:pPr>
        <w:rPr>
          <w:rFonts w:ascii="Calibri" w:hAnsi="Calibri"/>
          <w:color w:val="000000"/>
          <w:sz w:val="22"/>
          <w:szCs w:val="22"/>
        </w:rPr>
      </w:pPr>
      <w:r w:rsidRPr="004A1194">
        <w:rPr>
          <w:rFonts w:ascii="Calibri" w:hAnsi="Calibri"/>
          <w:color w:val="000000"/>
          <w:sz w:val="22"/>
          <w:szCs w:val="22"/>
        </w:rPr>
        <w:t xml:space="preserve">FPH will: </w:t>
      </w:r>
    </w:p>
    <w:p w:rsidR="001B132C" w:rsidRPr="004A1194" w:rsidRDefault="001B132C">
      <w:pPr>
        <w:rPr>
          <w:rFonts w:ascii="Calibri" w:hAnsi="Calibri"/>
          <w:color w:val="000000"/>
          <w:sz w:val="22"/>
          <w:szCs w:val="22"/>
        </w:rPr>
      </w:pP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appoint someone with specific responsibility for data protection;</w:t>
      </w: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ensure that everyone managing and handling personal information understands that they are contractually responsible for following good data protection practice;</w:t>
      </w: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describe clearly methods of handling personal information;</w:t>
      </w: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 xml:space="preserve">arrange for appropriate training for everyone managing and handling personal information; </w:t>
      </w: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supervise appropriately everyone managing and handling personal information;</w:t>
      </w: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 xml:space="preserve">ensure that staff deal with queries about personal information promptly and courteously; </w:t>
      </w:r>
    </w:p>
    <w:p w:rsidR="008B23A7" w:rsidRPr="004A1194" w:rsidRDefault="008B23A7" w:rsidP="00F70D25">
      <w:pPr>
        <w:numPr>
          <w:ilvl w:val="0"/>
          <w:numId w:val="7"/>
        </w:numPr>
        <w:rPr>
          <w:rFonts w:ascii="Calibri" w:hAnsi="Calibri"/>
          <w:sz w:val="22"/>
          <w:szCs w:val="22"/>
        </w:rPr>
      </w:pPr>
      <w:r w:rsidRPr="004A1194">
        <w:rPr>
          <w:rFonts w:ascii="Calibri" w:hAnsi="Calibri"/>
          <w:sz w:val="22"/>
          <w:szCs w:val="22"/>
        </w:rPr>
        <w:t>conduct a regular review and audit of the way personal information is managed;</w:t>
      </w:r>
    </w:p>
    <w:p w:rsidR="008B23A7" w:rsidRPr="004A1194" w:rsidRDefault="008B23A7" w:rsidP="00F70D25">
      <w:pPr>
        <w:numPr>
          <w:ilvl w:val="0"/>
          <w:numId w:val="7"/>
        </w:numPr>
        <w:rPr>
          <w:rFonts w:ascii="Calibri" w:hAnsi="Calibri"/>
          <w:color w:val="000000"/>
          <w:sz w:val="22"/>
          <w:szCs w:val="22"/>
        </w:rPr>
      </w:pPr>
      <w:r w:rsidRPr="004A1194">
        <w:rPr>
          <w:rFonts w:ascii="Calibri" w:hAnsi="Calibri"/>
          <w:color w:val="000000"/>
          <w:sz w:val="22"/>
          <w:szCs w:val="22"/>
        </w:rPr>
        <w:t>assess and evaluate regularly methods of handling personal information.</w:t>
      </w:r>
    </w:p>
    <w:p w:rsidR="008B23A7" w:rsidRPr="004A1194" w:rsidRDefault="008B23A7">
      <w:pPr>
        <w:rPr>
          <w:rFonts w:ascii="Calibri" w:hAnsi="Calibri"/>
          <w:b/>
          <w:bCs/>
          <w:color w:val="000000"/>
          <w:sz w:val="22"/>
          <w:szCs w:val="22"/>
        </w:rPr>
      </w:pPr>
    </w:p>
    <w:p w:rsidR="008B23A7" w:rsidRDefault="008B23A7">
      <w:pPr>
        <w:tabs>
          <w:tab w:val="left" w:pos="0"/>
          <w:tab w:val="left" w:pos="2520"/>
        </w:tabs>
        <w:spacing w:after="60"/>
        <w:rPr>
          <w:rFonts w:ascii="Calibri" w:hAnsi="Calibri"/>
          <w:color w:val="000000"/>
          <w:sz w:val="22"/>
          <w:szCs w:val="22"/>
        </w:rPr>
      </w:pPr>
      <w:r w:rsidRPr="004A1194">
        <w:rPr>
          <w:rFonts w:ascii="Calibri" w:hAnsi="Calibri"/>
          <w:color w:val="000000"/>
          <w:sz w:val="22"/>
          <w:szCs w:val="22"/>
        </w:rPr>
        <w:t xml:space="preserve">FPH reserves the right to modify this policy at any stage. It will carry out regular assessments of compliance with the Data Protection Act </w:t>
      </w:r>
      <w:r w:rsidR="00B13472">
        <w:rPr>
          <w:rFonts w:ascii="Calibri" w:hAnsi="Calibri"/>
          <w:color w:val="000000"/>
          <w:sz w:val="22"/>
          <w:szCs w:val="22"/>
        </w:rPr>
        <w:t>2018</w:t>
      </w:r>
      <w:r w:rsidRPr="004A1194">
        <w:rPr>
          <w:rFonts w:ascii="Calibri" w:hAnsi="Calibri"/>
          <w:color w:val="000000"/>
          <w:sz w:val="22"/>
          <w:szCs w:val="22"/>
        </w:rPr>
        <w:t xml:space="preserve">. </w:t>
      </w:r>
    </w:p>
    <w:p w:rsidR="00363898" w:rsidRPr="00864F12" w:rsidRDefault="00363898" w:rsidP="00864F12">
      <w:pPr>
        <w:rPr>
          <w:rFonts w:ascii="Calibri" w:hAnsi="Calibri"/>
          <w:color w:val="000000"/>
          <w:sz w:val="14"/>
          <w:szCs w:val="22"/>
        </w:rPr>
      </w:pPr>
    </w:p>
    <w:p w:rsidR="00363898" w:rsidRDefault="00363898" w:rsidP="00363898">
      <w:pPr>
        <w:pStyle w:val="Heading31"/>
        <w:keepNext/>
        <w:tabs>
          <w:tab w:val="left" w:pos="0"/>
          <w:tab w:val="left" w:pos="1134"/>
        </w:tabs>
        <w:rPr>
          <w:rFonts w:ascii="Calibri" w:hAnsi="Calibri"/>
          <w:bCs/>
          <w:iCs/>
          <w:color w:val="2E74B5"/>
          <w:szCs w:val="22"/>
          <w:lang w:val="en-GB"/>
        </w:rPr>
      </w:pPr>
      <w:r w:rsidRPr="00363898">
        <w:rPr>
          <w:rFonts w:ascii="Calibri" w:hAnsi="Calibri"/>
          <w:bCs/>
          <w:iCs/>
          <w:color w:val="2E74B5"/>
          <w:szCs w:val="22"/>
          <w:lang w:val="en-GB"/>
        </w:rPr>
        <w:t>Designated Roles at FPH</w:t>
      </w:r>
    </w:p>
    <w:p w:rsidR="001B132C" w:rsidRPr="001B132C" w:rsidRDefault="001B132C" w:rsidP="001B132C">
      <w:pPr>
        <w:rPr>
          <w:lang w:eastAsia="en-US" w:bidi="en-US"/>
        </w:rPr>
      </w:pPr>
    </w:p>
    <w:p w:rsidR="00363898" w:rsidRPr="00363898" w:rsidRDefault="00363898" w:rsidP="00363898">
      <w:pPr>
        <w:pStyle w:val="BodyTextIndent"/>
        <w:tabs>
          <w:tab w:val="left" w:pos="12"/>
        </w:tabs>
        <w:ind w:left="12"/>
        <w:jc w:val="both"/>
        <w:rPr>
          <w:rFonts w:ascii="Calibri" w:hAnsi="Calibri"/>
          <w:szCs w:val="22"/>
        </w:rPr>
      </w:pPr>
      <w:r w:rsidRPr="00363898">
        <w:rPr>
          <w:rFonts w:ascii="Calibri" w:hAnsi="Calibri"/>
          <w:szCs w:val="22"/>
        </w:rPr>
        <w:t>FPH as an organisation is the Data Controller and thus ultimately responsible for legal compliance</w:t>
      </w:r>
      <w:r>
        <w:rPr>
          <w:rFonts w:ascii="Calibri" w:hAnsi="Calibri"/>
          <w:szCs w:val="22"/>
        </w:rPr>
        <w:t xml:space="preserve">, this means that </w:t>
      </w:r>
      <w:r w:rsidRPr="00363898">
        <w:rPr>
          <w:rFonts w:ascii="Calibri" w:hAnsi="Calibri"/>
          <w:szCs w:val="22"/>
        </w:rPr>
        <w:t xml:space="preserve">Chief Executive and the Trustees of FPH are responsible for ensuring that the Data Protection policy is adequate, correct and reviewed regularly.  </w:t>
      </w:r>
    </w:p>
    <w:p w:rsidR="00363898" w:rsidRPr="00864F12" w:rsidRDefault="00363898" w:rsidP="00864F12">
      <w:pPr>
        <w:rPr>
          <w:rFonts w:ascii="Calibri" w:hAnsi="Calibri"/>
          <w:color w:val="000000"/>
          <w:sz w:val="14"/>
          <w:szCs w:val="22"/>
        </w:rPr>
      </w:pPr>
    </w:p>
    <w:p w:rsidR="00363898" w:rsidRPr="00363898" w:rsidRDefault="00363898" w:rsidP="00363898">
      <w:pPr>
        <w:tabs>
          <w:tab w:val="left" w:pos="0"/>
          <w:tab w:val="left" w:pos="2520"/>
        </w:tabs>
        <w:spacing w:after="60"/>
        <w:rPr>
          <w:rFonts w:ascii="Calibri" w:hAnsi="Calibri"/>
          <w:sz w:val="22"/>
          <w:szCs w:val="22"/>
        </w:rPr>
      </w:pPr>
      <w:r w:rsidRPr="00363898">
        <w:rPr>
          <w:rFonts w:ascii="Calibri" w:hAnsi="Calibri"/>
          <w:sz w:val="22"/>
          <w:szCs w:val="22"/>
        </w:rPr>
        <w:t>The Director of Business Services is the FPH Data Protection Officer</w:t>
      </w:r>
    </w:p>
    <w:p w:rsidR="008B23A7" w:rsidRPr="00864F12" w:rsidRDefault="008B23A7" w:rsidP="00864F12">
      <w:pPr>
        <w:rPr>
          <w:rFonts w:ascii="Calibri" w:hAnsi="Calibri"/>
          <w:color w:val="000000"/>
          <w:sz w:val="14"/>
          <w:szCs w:val="22"/>
        </w:rPr>
      </w:pPr>
    </w:p>
    <w:p w:rsidR="001B132C" w:rsidRDefault="001B132C">
      <w:pPr>
        <w:rPr>
          <w:rFonts w:ascii="Calibri" w:hAnsi="Calibri"/>
          <w:bCs/>
          <w:iCs/>
          <w:color w:val="2E74B5"/>
          <w:szCs w:val="22"/>
        </w:rPr>
      </w:pPr>
      <w:r>
        <w:rPr>
          <w:rFonts w:ascii="Calibri" w:hAnsi="Calibri"/>
          <w:bCs/>
          <w:iCs/>
          <w:color w:val="2E74B5"/>
          <w:szCs w:val="22"/>
        </w:rPr>
        <w:br w:type="page"/>
      </w:r>
    </w:p>
    <w:p w:rsidR="008B23A7" w:rsidRDefault="008B23A7" w:rsidP="001B132C">
      <w:pPr>
        <w:rPr>
          <w:rFonts w:ascii="Calibri" w:hAnsi="Calibri"/>
          <w:bCs/>
          <w:iCs/>
          <w:color w:val="2E74B5"/>
          <w:szCs w:val="22"/>
        </w:rPr>
      </w:pPr>
      <w:r w:rsidRPr="005430CD">
        <w:rPr>
          <w:rFonts w:ascii="Calibri" w:hAnsi="Calibri"/>
          <w:bCs/>
          <w:iCs/>
          <w:color w:val="2E74B5"/>
          <w:szCs w:val="22"/>
        </w:rPr>
        <w:lastRenderedPageBreak/>
        <w:t>For further information or for a copy of the FPH Data Protection Procedures and Guidance document please contact:</w:t>
      </w:r>
    </w:p>
    <w:p w:rsidR="001B132C" w:rsidRPr="001B132C" w:rsidRDefault="001B132C" w:rsidP="001B132C">
      <w:pPr>
        <w:rPr>
          <w:lang w:eastAsia="en-US" w:bidi="en-US"/>
        </w:rPr>
      </w:pPr>
    </w:p>
    <w:p w:rsidR="008B23A7" w:rsidRPr="004A1194" w:rsidRDefault="005430CD">
      <w:pPr>
        <w:pStyle w:val="Heading41"/>
        <w:tabs>
          <w:tab w:val="left" w:pos="0"/>
          <w:tab w:val="left" w:pos="2520"/>
        </w:tabs>
        <w:spacing w:after="60"/>
        <w:rPr>
          <w:rFonts w:ascii="Calibri" w:eastAsia="Symbol" w:hAnsi="Calibri" w:cs="Symbol"/>
          <w:sz w:val="22"/>
          <w:szCs w:val="22"/>
          <w:lang w:val="en-GB"/>
        </w:rPr>
      </w:pPr>
      <w:r>
        <w:rPr>
          <w:rFonts w:ascii="Calibri" w:eastAsia="Symbol" w:hAnsi="Calibri" w:cs="Symbol"/>
          <w:color w:val="000000"/>
          <w:sz w:val="22"/>
          <w:szCs w:val="22"/>
          <w:lang w:val="en-GB"/>
        </w:rPr>
        <w:t>Dr</w:t>
      </w:r>
      <w:r w:rsidR="008B23A7" w:rsidRPr="004A1194">
        <w:rPr>
          <w:rFonts w:ascii="Calibri" w:eastAsia="Symbol" w:hAnsi="Calibri" w:cs="Symbol"/>
          <w:color w:val="000000"/>
          <w:sz w:val="22"/>
          <w:szCs w:val="22"/>
          <w:lang w:val="en-GB"/>
        </w:rPr>
        <w:t xml:space="preserve"> </w:t>
      </w:r>
      <w:r w:rsidR="009950E4" w:rsidRPr="004A1194">
        <w:rPr>
          <w:rFonts w:ascii="Calibri" w:eastAsia="Symbol" w:hAnsi="Calibri" w:cs="Symbol"/>
          <w:color w:val="000000"/>
          <w:sz w:val="22"/>
          <w:szCs w:val="22"/>
          <w:lang w:val="en-GB"/>
        </w:rPr>
        <w:t>James Gore</w:t>
      </w:r>
      <w:r w:rsidR="008B23A7" w:rsidRPr="004A1194">
        <w:rPr>
          <w:rFonts w:ascii="Calibri" w:eastAsia="Symbol" w:hAnsi="Calibri" w:cs="Symbol"/>
          <w:sz w:val="22"/>
          <w:szCs w:val="22"/>
          <w:lang w:val="en-GB"/>
        </w:rPr>
        <w:t>, Chief Executive</w:t>
      </w:r>
      <w:r w:rsidR="008B23A7" w:rsidRPr="004A1194">
        <w:rPr>
          <w:rFonts w:ascii="Calibri" w:eastAsia="Symbol" w:hAnsi="Calibri" w:cs="Symbol"/>
          <w:sz w:val="22"/>
          <w:szCs w:val="22"/>
          <w:lang w:val="en-GB"/>
        </w:rPr>
        <w:br/>
        <w:t>Faculty of Public Health</w:t>
      </w:r>
    </w:p>
    <w:p w:rsidR="008B23A7" w:rsidRDefault="008B23A7">
      <w:pPr>
        <w:pStyle w:val="Heading41"/>
        <w:tabs>
          <w:tab w:val="left" w:pos="0"/>
          <w:tab w:val="left" w:pos="2520"/>
        </w:tabs>
        <w:spacing w:after="60"/>
        <w:rPr>
          <w:rFonts w:ascii="Calibri" w:hAnsi="Calibri"/>
          <w:sz w:val="22"/>
          <w:szCs w:val="22"/>
        </w:rPr>
      </w:pPr>
      <w:r w:rsidRPr="004A1194">
        <w:rPr>
          <w:rFonts w:ascii="Calibri" w:eastAsia="Symbol" w:hAnsi="Calibri" w:cs="Symbol"/>
          <w:sz w:val="22"/>
          <w:szCs w:val="22"/>
          <w:lang w:val="en-GB"/>
        </w:rPr>
        <w:t>4 St Andrew Place, London, UK, NW1 4LB</w:t>
      </w:r>
      <w:r w:rsidRPr="004A1194">
        <w:rPr>
          <w:rFonts w:ascii="Calibri" w:eastAsia="Symbol" w:hAnsi="Calibri" w:cs="Symbol"/>
          <w:sz w:val="22"/>
          <w:szCs w:val="22"/>
          <w:lang w:val="en-GB"/>
        </w:rPr>
        <w:br/>
        <w:t xml:space="preserve">Email: </w:t>
      </w:r>
      <w:hyperlink r:id="rId10" w:history="1">
        <w:r w:rsidR="009950E4" w:rsidRPr="004A1194">
          <w:rPr>
            <w:rStyle w:val="Hyperlink"/>
            <w:rFonts w:ascii="Calibri" w:hAnsi="Calibri"/>
            <w:sz w:val="22"/>
            <w:szCs w:val="22"/>
          </w:rPr>
          <w:t>jamesgore@fph.org.uk</w:t>
        </w:r>
      </w:hyperlink>
      <w:r w:rsidRPr="004A1194">
        <w:rPr>
          <w:rFonts w:ascii="Calibri" w:eastAsia="Symbol" w:hAnsi="Calibri" w:cs="Symbol"/>
          <w:sz w:val="22"/>
          <w:szCs w:val="22"/>
          <w:lang w:val="en-GB"/>
        </w:rPr>
        <w:t xml:space="preserve">  Telephone: +44(0)</w:t>
      </w:r>
      <w:r w:rsidR="008E54AB" w:rsidRPr="004A1194">
        <w:rPr>
          <w:rFonts w:ascii="Calibri" w:hAnsi="Calibri"/>
          <w:sz w:val="22"/>
          <w:szCs w:val="22"/>
        </w:rPr>
        <w:t xml:space="preserve"> 20 3696 1462</w:t>
      </w:r>
    </w:p>
    <w:p w:rsidR="00554CDC" w:rsidRDefault="00554CDC" w:rsidP="00554CDC"/>
    <w:p w:rsidR="00554CDC" w:rsidRDefault="00554CDC" w:rsidP="00554CDC"/>
    <w:p w:rsidR="00554CDC" w:rsidRDefault="00554CDC" w:rsidP="00554CDC"/>
    <w:p w:rsidR="00554CDC" w:rsidRDefault="00554CDC" w:rsidP="00554CDC"/>
    <w:p w:rsidR="00554CDC" w:rsidRDefault="00554CDC" w:rsidP="00554CDC"/>
    <w:p w:rsidR="00554CDC" w:rsidRPr="00363898" w:rsidRDefault="00554CDC" w:rsidP="00554CDC">
      <w:pPr>
        <w:rPr>
          <w:rFonts w:ascii="Calibri" w:hAnsi="Calibri"/>
          <w:sz w:val="22"/>
          <w:szCs w:val="22"/>
        </w:rPr>
      </w:pPr>
    </w:p>
    <w:p w:rsidR="00554CDC" w:rsidRPr="00363898" w:rsidRDefault="00554CDC" w:rsidP="00554CDC">
      <w:pPr>
        <w:rPr>
          <w:rFonts w:ascii="Calibri" w:hAnsi="Calibri"/>
          <w:sz w:val="22"/>
          <w:szCs w:val="22"/>
        </w:rPr>
      </w:pPr>
    </w:p>
    <w:p w:rsidR="00363898" w:rsidRPr="00864F12" w:rsidRDefault="00554CDC" w:rsidP="00554CDC">
      <w:pPr>
        <w:rPr>
          <w:rFonts w:ascii="Calibri" w:hAnsi="Calibri"/>
          <w:b/>
          <w:sz w:val="22"/>
          <w:szCs w:val="22"/>
        </w:rPr>
      </w:pPr>
      <w:r w:rsidRPr="00864F12">
        <w:rPr>
          <w:rFonts w:ascii="Calibri" w:hAnsi="Calibri"/>
          <w:b/>
          <w:sz w:val="22"/>
          <w:szCs w:val="22"/>
        </w:rPr>
        <w:t xml:space="preserve">Document revised </w:t>
      </w:r>
      <w:r w:rsidR="00363898" w:rsidRPr="00864F12">
        <w:rPr>
          <w:rFonts w:ascii="Calibri" w:hAnsi="Calibri"/>
          <w:b/>
          <w:sz w:val="22"/>
          <w:szCs w:val="22"/>
        </w:rPr>
        <w:t>January 20</w:t>
      </w:r>
      <w:r w:rsidR="00643F83">
        <w:rPr>
          <w:rFonts w:ascii="Calibri" w:hAnsi="Calibri"/>
          <w:b/>
          <w:sz w:val="22"/>
          <w:szCs w:val="22"/>
        </w:rPr>
        <w:t>20</w:t>
      </w:r>
    </w:p>
    <w:p w:rsidR="00554CDC" w:rsidRPr="00864F12" w:rsidRDefault="00554CDC" w:rsidP="00554CDC">
      <w:pPr>
        <w:rPr>
          <w:rFonts w:ascii="Calibri" w:hAnsi="Calibri"/>
          <w:b/>
          <w:sz w:val="22"/>
          <w:szCs w:val="22"/>
        </w:rPr>
      </w:pPr>
      <w:r w:rsidRPr="00864F12">
        <w:rPr>
          <w:rFonts w:ascii="Calibri" w:hAnsi="Calibri"/>
          <w:b/>
          <w:sz w:val="22"/>
          <w:szCs w:val="22"/>
        </w:rPr>
        <w:t>Document revised by Mag Connolly, Director of Business Services</w:t>
      </w:r>
    </w:p>
    <w:p w:rsidR="00363898" w:rsidRDefault="00363898" w:rsidP="00554CDC">
      <w:pPr>
        <w:rPr>
          <w:rFonts w:ascii="Calibri" w:hAnsi="Calibri"/>
          <w:sz w:val="22"/>
          <w:szCs w:val="22"/>
        </w:rPr>
      </w:pPr>
    </w:p>
    <w:p w:rsidR="00363898" w:rsidRPr="00864F12" w:rsidRDefault="00363898" w:rsidP="00554CDC">
      <w:pPr>
        <w:rPr>
          <w:rFonts w:ascii="Calibri" w:hAnsi="Calibri"/>
          <w:b/>
          <w:sz w:val="22"/>
          <w:szCs w:val="22"/>
        </w:rPr>
      </w:pPr>
      <w:r w:rsidRPr="00864F12">
        <w:rPr>
          <w:rFonts w:ascii="Calibri" w:hAnsi="Calibri"/>
          <w:b/>
          <w:sz w:val="22"/>
          <w:szCs w:val="22"/>
        </w:rPr>
        <w:t>Next review date April 2</w:t>
      </w:r>
      <w:r w:rsidR="00643F83">
        <w:rPr>
          <w:rFonts w:ascii="Calibri" w:hAnsi="Calibri"/>
          <w:b/>
          <w:sz w:val="22"/>
          <w:szCs w:val="22"/>
        </w:rPr>
        <w:t>021</w:t>
      </w:r>
      <w:r w:rsidRPr="00864F12">
        <w:rPr>
          <w:rFonts w:ascii="Calibri" w:hAnsi="Calibri"/>
          <w:b/>
          <w:sz w:val="22"/>
          <w:szCs w:val="22"/>
        </w:rPr>
        <w:t>.</w:t>
      </w:r>
    </w:p>
    <w:sectPr w:rsidR="00363898" w:rsidRPr="00864F12" w:rsidSect="001B132C">
      <w:footnotePr>
        <w:pos w:val="beneathText"/>
      </w:footnotePr>
      <w:pgSz w:w="12240" w:h="15840"/>
      <w:pgMar w:top="851" w:right="1327" w:bottom="1276" w:left="1276" w:header="3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11" w:rsidRDefault="00C05811" w:rsidP="00F70D25">
      <w:r>
        <w:separator/>
      </w:r>
    </w:p>
  </w:endnote>
  <w:endnote w:type="continuationSeparator" w:id="0">
    <w:p w:rsidR="00C05811" w:rsidRDefault="00C05811" w:rsidP="00F7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11" w:rsidRDefault="00C05811" w:rsidP="00F70D25">
      <w:r>
        <w:separator/>
      </w:r>
    </w:p>
  </w:footnote>
  <w:footnote w:type="continuationSeparator" w:id="0">
    <w:p w:rsidR="00C05811" w:rsidRDefault="00C05811" w:rsidP="00F70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A423968"/>
    <w:multiLevelType w:val="hybridMultilevel"/>
    <w:tmpl w:val="10D4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D42F8"/>
    <w:multiLevelType w:val="hybridMultilevel"/>
    <w:tmpl w:val="C9E4B3E4"/>
    <w:lvl w:ilvl="0" w:tplc="CF603B3E">
      <w:start w:val="1"/>
      <w:numFmt w:val="bullet"/>
      <w:lvlText w:val=""/>
      <w:lvlJc w:val="left"/>
      <w:pPr>
        <w:ind w:left="720" w:hanging="360"/>
      </w:pPr>
      <w:rPr>
        <w:rFonts w:ascii="Symbol" w:hAnsi="Symbol" w:hint="default"/>
        <w:color w:val="2E74B5"/>
        <w:sz w:val="24"/>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E79F6"/>
    <w:multiLevelType w:val="multilevel"/>
    <w:tmpl w:val="6F6C0F64"/>
    <w:lvl w:ilvl="0">
      <w:start w:val="1"/>
      <w:numFmt w:val="bullet"/>
      <w:lvlText w:val=""/>
      <w:lvlJc w:val="left"/>
      <w:pPr>
        <w:tabs>
          <w:tab w:val="num" w:pos="720"/>
        </w:tabs>
        <w:ind w:left="720" w:hanging="360"/>
      </w:pPr>
      <w:rPr>
        <w:rFonts w:ascii="Symbol" w:hAnsi="Symbol" w:hint="default"/>
        <w:color w:val="2E74B5"/>
        <w:sz w:val="24"/>
        <w:szCs w:val="18"/>
        <w:u w:color="FFFFFF"/>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79B6143E"/>
    <w:multiLevelType w:val="hybridMultilevel"/>
    <w:tmpl w:val="A6104676"/>
    <w:lvl w:ilvl="0" w:tplc="CF603B3E">
      <w:start w:val="1"/>
      <w:numFmt w:val="bullet"/>
      <w:lvlText w:val=""/>
      <w:lvlJc w:val="left"/>
      <w:pPr>
        <w:ind w:left="720" w:hanging="360"/>
      </w:pPr>
      <w:rPr>
        <w:rFonts w:ascii="Symbol" w:hAnsi="Symbol" w:hint="default"/>
        <w:color w:val="2E74B5"/>
        <w:sz w:val="24"/>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F9"/>
    <w:rsid w:val="00092DBE"/>
    <w:rsid w:val="000A15BF"/>
    <w:rsid w:val="001B132C"/>
    <w:rsid w:val="002941BD"/>
    <w:rsid w:val="00363898"/>
    <w:rsid w:val="003D7306"/>
    <w:rsid w:val="004A1194"/>
    <w:rsid w:val="004C4DCB"/>
    <w:rsid w:val="005430CD"/>
    <w:rsid w:val="00554CDC"/>
    <w:rsid w:val="0055542B"/>
    <w:rsid w:val="00643F83"/>
    <w:rsid w:val="00654F12"/>
    <w:rsid w:val="006E4923"/>
    <w:rsid w:val="00864F12"/>
    <w:rsid w:val="00870590"/>
    <w:rsid w:val="008B23A7"/>
    <w:rsid w:val="008B524F"/>
    <w:rsid w:val="008E54AB"/>
    <w:rsid w:val="0097047C"/>
    <w:rsid w:val="009950E4"/>
    <w:rsid w:val="009C6E8B"/>
    <w:rsid w:val="00A5682D"/>
    <w:rsid w:val="00AC0460"/>
    <w:rsid w:val="00B13472"/>
    <w:rsid w:val="00B54AB6"/>
    <w:rsid w:val="00B61B77"/>
    <w:rsid w:val="00BB1AF9"/>
    <w:rsid w:val="00C05811"/>
    <w:rsid w:val="00D458DA"/>
    <w:rsid w:val="00DF5D71"/>
    <w:rsid w:val="00E20C1C"/>
    <w:rsid w:val="00EF604D"/>
    <w:rsid w:val="00F1408A"/>
    <w:rsid w:val="00F70D25"/>
    <w:rsid w:val="00F86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3ADC5E-18E8-4F26-B643-1E53D9C4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Arial Unicode MS"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
    <w:name w:val="WW-Default Paragraph Font"/>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RTFNum21">
    <w:name w:val="RTF_Num 2 1"/>
    <w:rPr>
      <w:rFonts w:ascii="Arial" w:hAnsi="Arial"/>
    </w:rPr>
  </w:style>
  <w:style w:type="character" w:customStyle="1" w:styleId="RTFNum31">
    <w:name w:val="RTF_Num 3 1"/>
    <w:rPr>
      <w:rFonts w:ascii="Symbol" w:hAnsi="Symbol"/>
    </w:rPr>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Strong">
    <w:name w:val="Strong"/>
    <w:qFormat/>
    <w:rPr>
      <w:b/>
      <w:bCs/>
    </w:rPr>
  </w:style>
  <w:style w:type="character" w:styleId="CommentReference">
    <w:name w:val="annotation reference"/>
    <w:rPr>
      <w:sz w:val="16"/>
      <w:szCs w:val="16"/>
    </w:rPr>
  </w:style>
  <w:style w:type="character" w:customStyle="1" w:styleId="WW8Num22z0">
    <w:name w:val="WW8Num22z0"/>
    <w:rPr>
      <w:rFonts w:ascii="Wingdings" w:hAnsi="Wingdings"/>
    </w:rPr>
  </w:style>
  <w:style w:type="paragraph" w:customStyle="1" w:styleId="Heading">
    <w:name w:val="Heading"/>
    <w:basedOn w:val="Normal"/>
    <w:next w:val="BodyText"/>
    <w:pPr>
      <w:keepNext/>
      <w:spacing w:before="240" w:after="120"/>
    </w:pPr>
    <w:rPr>
      <w:rFonts w:eastAsia="MS Mincho"/>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1">
    <w:name w:val="Heading 11"/>
    <w:next w:val="Normal"/>
    <w:pPr>
      <w:widowControl w:val="0"/>
      <w:suppressAutoHyphens/>
      <w:autoSpaceDE w:val="0"/>
    </w:pPr>
    <w:rPr>
      <w:rFonts w:ascii="Arial" w:eastAsia="Arial" w:hAnsi="Arial" w:cs="Arial"/>
      <w:sz w:val="24"/>
      <w:szCs w:val="24"/>
      <w:lang w:val="en-US" w:eastAsia="en-US" w:bidi="en-US"/>
    </w:rPr>
  </w:style>
  <w:style w:type="paragraph" w:customStyle="1" w:styleId="Heading21">
    <w:name w:val="Heading 21"/>
    <w:next w:val="Normal"/>
    <w:pPr>
      <w:widowControl w:val="0"/>
      <w:suppressAutoHyphens/>
      <w:autoSpaceDE w:val="0"/>
    </w:pPr>
    <w:rPr>
      <w:rFonts w:ascii="Arial" w:eastAsia="Arial" w:hAnsi="Arial" w:cs="Arial"/>
      <w:sz w:val="24"/>
      <w:szCs w:val="24"/>
      <w:lang w:val="en-US" w:eastAsia="en-US" w:bidi="en-US"/>
    </w:rPr>
  </w:style>
  <w:style w:type="paragraph" w:customStyle="1" w:styleId="Heading31">
    <w:name w:val="Heading 31"/>
    <w:next w:val="Normal"/>
    <w:pPr>
      <w:widowControl w:val="0"/>
      <w:suppressAutoHyphens/>
      <w:autoSpaceDE w:val="0"/>
    </w:pPr>
    <w:rPr>
      <w:rFonts w:ascii="Arial" w:eastAsia="Arial" w:hAnsi="Arial" w:cs="Arial"/>
      <w:sz w:val="24"/>
      <w:szCs w:val="24"/>
      <w:lang w:val="en-US" w:eastAsia="en-US" w:bidi="en-US"/>
    </w:rPr>
  </w:style>
  <w:style w:type="paragraph" w:customStyle="1" w:styleId="Heading41">
    <w:name w:val="Heading 41"/>
    <w:next w:val="Normal"/>
    <w:pPr>
      <w:widowControl w:val="0"/>
      <w:suppressAutoHyphens/>
      <w:autoSpaceDE w:val="0"/>
    </w:pPr>
    <w:rPr>
      <w:rFonts w:ascii="Arial" w:eastAsia="Arial" w:hAnsi="Arial" w:cs="Arial"/>
      <w:sz w:val="24"/>
      <w:szCs w:val="24"/>
      <w:lang w:val="en-US" w:eastAsia="en-US" w:bidi="en-US"/>
    </w:rPr>
  </w:style>
  <w:style w:type="paragraph" w:styleId="BalloonText">
    <w:name w:val="Balloon Text"/>
    <w:basedOn w:val="Normal"/>
    <w:rPr>
      <w:rFonts w:ascii="Tahoma" w:hAnsi="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odyTextIndent">
    <w:name w:val="Body Text Indent"/>
    <w:basedOn w:val="Normal"/>
    <w:pPr>
      <w:tabs>
        <w:tab w:val="left" w:pos="567"/>
      </w:tabs>
      <w:ind w:left="567"/>
    </w:pPr>
    <w:rPr>
      <w:rFonts w:ascii="Univers" w:hAnsi="Univers"/>
      <w:sz w:val="22"/>
    </w:rPr>
  </w:style>
  <w:style w:type="paragraph" w:styleId="BodyTextIndent3">
    <w:name w:val="Body Text Indent 3"/>
    <w:basedOn w:val="Normal"/>
    <w:next w:val="Normal"/>
  </w:style>
  <w:style w:type="paragraph" w:customStyle="1" w:styleId="Default">
    <w:name w:val="Default"/>
    <w:rsid w:val="008B524F"/>
    <w:pPr>
      <w:autoSpaceDE w:val="0"/>
      <w:autoSpaceDN w:val="0"/>
      <w:adjustRightInd w:val="0"/>
    </w:pPr>
    <w:rPr>
      <w:rFonts w:ascii="Verdana" w:hAnsi="Verdana" w:cs="Verdana"/>
      <w:color w:val="000000"/>
      <w:sz w:val="24"/>
      <w:szCs w:val="24"/>
    </w:rPr>
  </w:style>
  <w:style w:type="character" w:styleId="IntenseEmphasis">
    <w:name w:val="Intense Emphasis"/>
    <w:uiPriority w:val="21"/>
    <w:qFormat/>
    <w:rsid w:val="005430CD"/>
    <w:rPr>
      <w:i/>
      <w:iCs/>
      <w:color w:val="5B9BD5"/>
    </w:rPr>
  </w:style>
  <w:style w:type="paragraph" w:styleId="Header">
    <w:name w:val="header"/>
    <w:basedOn w:val="Normal"/>
    <w:link w:val="HeaderChar"/>
    <w:rsid w:val="00F70D25"/>
    <w:pPr>
      <w:tabs>
        <w:tab w:val="center" w:pos="4513"/>
        <w:tab w:val="right" w:pos="9026"/>
      </w:tabs>
    </w:pPr>
  </w:style>
  <w:style w:type="character" w:customStyle="1" w:styleId="HeaderChar">
    <w:name w:val="Header Char"/>
    <w:link w:val="Header"/>
    <w:rsid w:val="00F70D25"/>
    <w:rPr>
      <w:rFonts w:ascii="Arial" w:eastAsia="Arial" w:hAnsi="Arial" w:cs="Arial"/>
      <w:sz w:val="24"/>
      <w:szCs w:val="24"/>
      <w:lang w:val="en-US" w:eastAsia="en-US" w:bidi="en-US"/>
    </w:rPr>
  </w:style>
  <w:style w:type="paragraph" w:styleId="Footer">
    <w:name w:val="footer"/>
    <w:basedOn w:val="Normal"/>
    <w:link w:val="FooterChar"/>
    <w:rsid w:val="00F70D25"/>
    <w:pPr>
      <w:tabs>
        <w:tab w:val="center" w:pos="4513"/>
        <w:tab w:val="right" w:pos="9026"/>
      </w:tabs>
    </w:pPr>
  </w:style>
  <w:style w:type="character" w:customStyle="1" w:styleId="FooterChar">
    <w:name w:val="Footer Char"/>
    <w:link w:val="Footer"/>
    <w:rsid w:val="00F70D25"/>
    <w:rPr>
      <w:rFonts w:ascii="Arial" w:eastAsia="Arial" w:hAnsi="Arial" w:cs="Arial"/>
      <w:sz w:val="24"/>
      <w:szCs w:val="24"/>
      <w:lang w:val="en-US" w:eastAsia="en-US" w:bidi="en-US"/>
    </w:rPr>
  </w:style>
  <w:style w:type="paragraph" w:styleId="NoSpacing">
    <w:name w:val="No Spacing"/>
    <w:uiPriority w:val="1"/>
    <w:qFormat/>
    <w:rsid w:val="00870590"/>
    <w:rPr>
      <w:rFonts w:ascii="Calibri" w:eastAsia="Calibri" w:hAnsi="Calibri"/>
      <w:sz w:val="22"/>
      <w:szCs w:val="22"/>
      <w:lang w:eastAsia="en-US"/>
    </w:rPr>
  </w:style>
  <w:style w:type="paragraph" w:styleId="PlainText">
    <w:name w:val="Plain Text"/>
    <w:basedOn w:val="Normal"/>
    <w:link w:val="PlainTextChar"/>
    <w:uiPriority w:val="99"/>
    <w:unhideWhenUsed/>
    <w:rsid w:val="00870590"/>
    <w:rPr>
      <w:rFonts w:ascii="Calibri" w:eastAsia="Calibri" w:hAnsi="Calibri" w:cs="Times New Roman"/>
      <w:sz w:val="22"/>
      <w:szCs w:val="22"/>
    </w:rPr>
  </w:style>
  <w:style w:type="character" w:customStyle="1" w:styleId="PlainTextChar">
    <w:name w:val="Plain Text Char"/>
    <w:link w:val="PlainText"/>
    <w:uiPriority w:val="99"/>
    <w:rsid w:val="008705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mesgore@fph.org.uk" TargetMode="External"/><Relationship Id="rId4" Type="http://schemas.openxmlformats.org/officeDocument/2006/relationships/settings" Target="settings.xml"/><Relationship Id="rId9" Type="http://schemas.openxmlformats.org/officeDocument/2006/relationships/hyperlink" Target="https://ico.org.uk/your-data-matters/your-right-of-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6314-7F87-4964-BA41-A9A29D09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7150B160</Template>
  <TotalTime>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Faculty of Public Health(FPH) Data Protection Policy (draft 23/06/09)</vt:lpstr>
    </vt:vector>
  </TitlesOfParts>
  <Company>FPH</Company>
  <LinksUpToDate>false</LinksUpToDate>
  <CharactersWithSpaces>8280</CharactersWithSpaces>
  <SharedDoc>false</SharedDoc>
  <HLinks>
    <vt:vector size="12" baseType="variant">
      <vt:variant>
        <vt:i4>7274521</vt:i4>
      </vt:variant>
      <vt:variant>
        <vt:i4>3</vt:i4>
      </vt:variant>
      <vt:variant>
        <vt:i4>0</vt:i4>
      </vt:variant>
      <vt:variant>
        <vt:i4>5</vt:i4>
      </vt:variant>
      <vt:variant>
        <vt:lpwstr>mailto:jamesgore@fph.org.uk</vt:lpwstr>
      </vt:variant>
      <vt:variant>
        <vt:lpwstr/>
      </vt:variant>
      <vt:variant>
        <vt:i4>7340087</vt:i4>
      </vt:variant>
      <vt:variant>
        <vt:i4>0</vt:i4>
      </vt:variant>
      <vt:variant>
        <vt:i4>0</vt:i4>
      </vt:variant>
      <vt:variant>
        <vt:i4>5</vt:i4>
      </vt:variant>
      <vt:variant>
        <vt:lpwstr>https://ico.org.uk/your-data-matters/your-right-of-access/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Public Health(FPH) Data Protection Policy (draft 23/06/09)</dc:title>
  <dc:subject/>
  <dc:creator>MagConnolly@fph.org.uk</dc:creator>
  <cp:keywords/>
  <cp:lastModifiedBy>Mag Connolly</cp:lastModifiedBy>
  <cp:revision>2</cp:revision>
  <cp:lastPrinted>1900-01-01T00:00:00Z</cp:lastPrinted>
  <dcterms:created xsi:type="dcterms:W3CDTF">2020-07-01T15:18:00Z</dcterms:created>
  <dcterms:modified xsi:type="dcterms:W3CDTF">2020-07-01T15:18:00Z</dcterms:modified>
</cp:coreProperties>
</file>